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3E" w:rsidRDefault="009D1475" w:rsidP="00AE1A3E">
      <w:pPr>
        <w:jc w:val="center"/>
        <w:rPr>
          <w:b/>
        </w:rPr>
      </w:pPr>
      <w:r>
        <w:rPr>
          <w:b/>
        </w:rPr>
        <w:t xml:space="preserve"> </w:t>
      </w:r>
      <w:r w:rsidR="00E86B2E">
        <w:rPr>
          <w:b/>
        </w:rPr>
        <w:t xml:space="preserve">  </w:t>
      </w:r>
      <w:r w:rsidR="00AE1A3E">
        <w:rPr>
          <w:b/>
        </w:rPr>
        <w:t>PINEMAP Year 2 Interim Report</w:t>
      </w:r>
    </w:p>
    <w:p w:rsidR="00AE1A3E" w:rsidRDefault="00AE1A3E" w:rsidP="00AE1A3E">
      <w:pPr>
        <w:jc w:val="center"/>
        <w:rPr>
          <w:b/>
        </w:rPr>
      </w:pPr>
      <w:r>
        <w:rPr>
          <w:b/>
        </w:rPr>
        <w:t>July 2012</w:t>
      </w:r>
    </w:p>
    <w:p w:rsidR="002E6F56" w:rsidRDefault="009B7952" w:rsidP="00AE1A3E">
      <w:pPr>
        <w:jc w:val="center"/>
        <w:rPr>
          <w:b/>
        </w:rPr>
      </w:pPr>
      <w:r>
        <w:rPr>
          <w:b/>
        </w:rPr>
        <w:t>Aim 5</w:t>
      </w:r>
    </w:p>
    <w:p w:rsidR="00311165" w:rsidRDefault="00311165">
      <w:pPr>
        <w:rPr>
          <w:b/>
        </w:rPr>
      </w:pPr>
    </w:p>
    <w:p w:rsidR="007D3D87" w:rsidRDefault="004A361A" w:rsidP="007D3D87">
      <w:pPr>
        <w:shd w:val="clear" w:color="auto" w:fill="D9D9D9" w:themeFill="background1" w:themeFillShade="D9"/>
        <w:rPr>
          <w:shd w:val="clear" w:color="auto" w:fill="D9D9D9" w:themeFill="background1" w:themeFillShade="D9"/>
        </w:rPr>
      </w:pPr>
      <w:r>
        <w:rPr>
          <w:shd w:val="clear" w:color="auto" w:fill="D9D9D9" w:themeFill="background1" w:themeFillShade="D9"/>
        </w:rPr>
        <w:t>The purpose of the Interim R</w:t>
      </w:r>
      <w:r w:rsidR="00E572B1">
        <w:rPr>
          <w:shd w:val="clear" w:color="auto" w:fill="D9D9D9" w:themeFill="background1" w:themeFillShade="D9"/>
        </w:rPr>
        <w:t xml:space="preserve">eport is to provide </w:t>
      </w:r>
      <w:r w:rsidR="00487FD9">
        <w:rPr>
          <w:shd w:val="clear" w:color="auto" w:fill="D9D9D9" w:themeFill="background1" w:themeFillShade="D9"/>
        </w:rPr>
        <w:t xml:space="preserve">Aim progress </w:t>
      </w:r>
      <w:r w:rsidR="00E572B1">
        <w:rPr>
          <w:shd w:val="clear" w:color="auto" w:fill="D9D9D9" w:themeFill="background1" w:themeFillShade="D9"/>
        </w:rPr>
        <w:t xml:space="preserve">updates </w:t>
      </w:r>
      <w:r w:rsidR="00487FD9">
        <w:rPr>
          <w:shd w:val="clear" w:color="auto" w:fill="D9D9D9" w:themeFill="background1" w:themeFillShade="D9"/>
        </w:rPr>
        <w:t xml:space="preserve">and </w:t>
      </w:r>
      <w:r>
        <w:rPr>
          <w:shd w:val="clear" w:color="auto" w:fill="D9D9D9" w:themeFill="background1" w:themeFillShade="D9"/>
        </w:rPr>
        <w:t xml:space="preserve">get a head start on the </w:t>
      </w:r>
      <w:r w:rsidR="00487FD9">
        <w:rPr>
          <w:shd w:val="clear" w:color="auto" w:fill="D9D9D9" w:themeFill="background1" w:themeFillShade="D9"/>
        </w:rPr>
        <w:t>process of writing the</w:t>
      </w:r>
      <w:r w:rsidR="007D3D87">
        <w:rPr>
          <w:shd w:val="clear" w:color="auto" w:fill="D9D9D9" w:themeFill="background1" w:themeFillShade="D9"/>
        </w:rPr>
        <w:t xml:space="preserve"> Y</w:t>
      </w:r>
      <w:r>
        <w:rPr>
          <w:shd w:val="clear" w:color="auto" w:fill="D9D9D9" w:themeFill="background1" w:themeFillShade="D9"/>
        </w:rPr>
        <w:t>ear 2 Annual R</w:t>
      </w:r>
      <w:r w:rsidR="007D3D87">
        <w:rPr>
          <w:shd w:val="clear" w:color="auto" w:fill="D9D9D9" w:themeFill="background1" w:themeFillShade="D9"/>
        </w:rPr>
        <w:t xml:space="preserve">eport (summarizing progress, results, </w:t>
      </w:r>
      <w:r w:rsidR="003D1EFD">
        <w:rPr>
          <w:shd w:val="clear" w:color="auto" w:fill="D9D9D9" w:themeFill="background1" w:themeFillShade="D9"/>
        </w:rPr>
        <w:t xml:space="preserve">impacts, outcomes, outputs, </w:t>
      </w:r>
      <w:r w:rsidR="007D3D87">
        <w:rPr>
          <w:shd w:val="clear" w:color="auto" w:fill="D9D9D9" w:themeFill="background1" w:themeFillShade="D9"/>
        </w:rPr>
        <w:t xml:space="preserve">etc. for the period of </w:t>
      </w:r>
      <w:r w:rsidR="004D3C81">
        <w:rPr>
          <w:shd w:val="clear" w:color="auto" w:fill="D9D9D9" w:themeFill="background1" w:themeFillShade="D9"/>
        </w:rPr>
        <w:t>January</w:t>
      </w:r>
      <w:r w:rsidR="007D3D87">
        <w:rPr>
          <w:shd w:val="clear" w:color="auto" w:fill="D9D9D9" w:themeFill="background1" w:themeFillShade="D9"/>
        </w:rPr>
        <w:t>-November 2012)</w:t>
      </w:r>
      <w:r w:rsidR="00487FD9">
        <w:rPr>
          <w:shd w:val="clear" w:color="auto" w:fill="D9D9D9" w:themeFill="background1" w:themeFillShade="D9"/>
        </w:rPr>
        <w:t xml:space="preserve">. </w:t>
      </w:r>
    </w:p>
    <w:p w:rsidR="007D3D87" w:rsidRDefault="007D3D87" w:rsidP="007D3D87">
      <w:pPr>
        <w:shd w:val="clear" w:color="auto" w:fill="D9D9D9" w:themeFill="background1" w:themeFillShade="D9"/>
        <w:rPr>
          <w:shd w:val="clear" w:color="auto" w:fill="D9D9D9" w:themeFill="background1" w:themeFillShade="D9"/>
        </w:rPr>
      </w:pPr>
    </w:p>
    <w:p w:rsidR="00CA41C3" w:rsidRPr="00336DF3" w:rsidRDefault="00487FD9" w:rsidP="007D3D87">
      <w:pPr>
        <w:shd w:val="clear" w:color="auto" w:fill="D9D9D9" w:themeFill="background1" w:themeFillShade="D9"/>
        <w:rPr>
          <w:i/>
          <w:color w:val="FF0000"/>
        </w:rPr>
      </w:pPr>
      <w:r>
        <w:rPr>
          <w:shd w:val="clear" w:color="auto" w:fill="D9D9D9" w:themeFill="background1" w:themeFillShade="D9"/>
        </w:rPr>
        <w:t xml:space="preserve">Please </w:t>
      </w:r>
      <w:r w:rsidR="00AE1A3E" w:rsidRPr="008F59BE">
        <w:rPr>
          <w:shd w:val="clear" w:color="auto" w:fill="D9D9D9" w:themeFill="background1" w:themeFillShade="D9"/>
        </w:rPr>
        <w:t xml:space="preserve">fill in the template </w:t>
      </w:r>
      <w:r w:rsidR="00336DF3">
        <w:rPr>
          <w:shd w:val="clear" w:color="auto" w:fill="D9D9D9" w:themeFill="background1" w:themeFillShade="D9"/>
        </w:rPr>
        <w:t xml:space="preserve">as completely as possible and e-mail to Jessica Ireland </w:t>
      </w:r>
      <w:r w:rsidR="003D1EFD">
        <w:rPr>
          <w:shd w:val="clear" w:color="auto" w:fill="D9D9D9" w:themeFill="background1" w:themeFillShade="D9"/>
        </w:rPr>
        <w:t xml:space="preserve">no later than </w:t>
      </w:r>
      <w:r w:rsidR="00336DF3" w:rsidRPr="004A361A">
        <w:rPr>
          <w:b/>
          <w:color w:val="FF0000"/>
          <w:shd w:val="clear" w:color="auto" w:fill="D9D9D9" w:themeFill="background1" w:themeFillShade="D9"/>
        </w:rPr>
        <w:t>July 13, 2012</w:t>
      </w:r>
      <w:r w:rsidR="00336DF3">
        <w:rPr>
          <w:shd w:val="clear" w:color="auto" w:fill="D9D9D9" w:themeFill="background1" w:themeFillShade="D9"/>
        </w:rPr>
        <w:t xml:space="preserve">. </w:t>
      </w:r>
    </w:p>
    <w:p w:rsidR="00DC4B0B" w:rsidRDefault="00DC4B0B">
      <w:pPr>
        <w:rPr>
          <w:b/>
          <w:u w:val="single"/>
        </w:rPr>
      </w:pPr>
    </w:p>
    <w:p w:rsidR="00AE1A3E" w:rsidRPr="00AE1A3E" w:rsidRDefault="00F57F5A">
      <w:pPr>
        <w:rPr>
          <w:b/>
          <w:u w:val="single"/>
        </w:rPr>
      </w:pPr>
      <w:r w:rsidRPr="00AE1A3E">
        <w:rPr>
          <w:b/>
          <w:u w:val="single"/>
        </w:rPr>
        <w:t xml:space="preserve">Outcomes/Impacts </w:t>
      </w:r>
    </w:p>
    <w:p w:rsidR="00AE1A3E" w:rsidRDefault="00AE1A3E"/>
    <w:p w:rsidR="003D1EFD" w:rsidRDefault="00AE1A3E" w:rsidP="008F59BE">
      <w:pPr>
        <w:shd w:val="clear" w:color="auto" w:fill="D9D9D9" w:themeFill="background1" w:themeFillShade="D9"/>
      </w:pPr>
      <w:r w:rsidRPr="00AE1A3E">
        <w:t xml:space="preserve">Describe how Aim-level </w:t>
      </w:r>
      <w:r w:rsidR="00AF14B9">
        <w:t>activities, results, findings, techniques, or products</w:t>
      </w:r>
      <w:r w:rsidRPr="00AE1A3E">
        <w:t xml:space="preserve"> contribute to project-level outcomes and </w:t>
      </w:r>
      <w:r w:rsidR="00B81A9D">
        <w:t>impacts.</w:t>
      </w:r>
      <w:r w:rsidR="002E6F56">
        <w:t xml:space="preserve"> </w:t>
      </w:r>
    </w:p>
    <w:p w:rsidR="003D1EFD" w:rsidRPr="003D1EFD" w:rsidRDefault="003D1EFD" w:rsidP="008F59BE">
      <w:pPr>
        <w:shd w:val="clear" w:color="auto" w:fill="D9D9D9" w:themeFill="background1" w:themeFillShade="D9"/>
        <w:rPr>
          <w:sz w:val="16"/>
        </w:rPr>
      </w:pPr>
    </w:p>
    <w:p w:rsidR="00F57F5A" w:rsidRPr="003D1EFD" w:rsidRDefault="00DC4B0B" w:rsidP="008F59BE">
      <w:pPr>
        <w:shd w:val="clear" w:color="auto" w:fill="D9D9D9" w:themeFill="background1" w:themeFillShade="D9"/>
        <w:rPr>
          <w:i/>
        </w:rPr>
      </w:pPr>
      <w:r w:rsidRPr="003D1EFD">
        <w:rPr>
          <w:i/>
        </w:rPr>
        <w:t>A boilerplate from the Year 1 Annual Report has been provided for your reference</w:t>
      </w:r>
      <w:r w:rsidR="00507B36">
        <w:rPr>
          <w:i/>
        </w:rPr>
        <w:t>.</w:t>
      </w:r>
      <w:r w:rsidR="00507B36" w:rsidRPr="00507B36">
        <w:rPr>
          <w:i/>
        </w:rPr>
        <w:t xml:space="preserve"> </w:t>
      </w:r>
      <w:r w:rsidR="00507B36">
        <w:rPr>
          <w:i/>
        </w:rPr>
        <w:t>Please modify or update as necessary.</w:t>
      </w:r>
    </w:p>
    <w:p w:rsidR="00AF14B9" w:rsidRPr="003D1EFD" w:rsidRDefault="00AF14B9"/>
    <w:p w:rsidR="002E6F56" w:rsidRDefault="00DE109F">
      <w:r w:rsidRPr="00DE109F">
        <w:t xml:space="preserve">Aim 5 activities contribute to project-level outcomes and impacts through educating graduate and undergraduate students, along with high school teachers and students, on climate science, forestry, and interdisciplinary research. The PINEMAP distance graduate course, </w:t>
      </w:r>
      <w:r w:rsidR="00F53416" w:rsidRPr="00F53416">
        <w:rPr>
          <w:i/>
        </w:rPr>
        <w:t>Climate and Forests</w:t>
      </w:r>
      <w:r w:rsidRPr="00DE109F">
        <w:t xml:space="preserve">, </w:t>
      </w:r>
      <w:r w:rsidR="00A36CBA">
        <w:t>wa</w:t>
      </w:r>
      <w:r w:rsidRPr="00DE109F">
        <w:t xml:space="preserve">s offered for the first time during the spring 2012 semester (January-May). The course also provides a platform for faculty to interact and better understand the variety of interdisciplinary research, education, and outreach elements within the PINEMAP project. The PINEMAP Undergraduate Internship Program was launched </w:t>
      </w:r>
      <w:r w:rsidR="00F6745D">
        <w:t>in May as undergraduate interns began working with paired PINEMAP graduate students at host institutions</w:t>
      </w:r>
      <w:r w:rsidR="00A24438">
        <w:t>.  This internship experience will be used in fall 2012 to educate public secondary school students about forest resources and climate change</w:t>
      </w:r>
      <w:r w:rsidRPr="00DE109F">
        <w:t xml:space="preserve">. </w:t>
      </w:r>
      <w:r w:rsidR="007F26E7">
        <w:t>Seven</w:t>
      </w:r>
      <w:r w:rsidR="00A36CBA">
        <w:t xml:space="preserve"> activities for the Project Learning Tree/PINEMAP secondary module have been </w:t>
      </w:r>
      <w:r w:rsidR="003B3ABA">
        <w:t xml:space="preserve">developed and </w:t>
      </w:r>
      <w:r w:rsidR="00A36CBA">
        <w:t xml:space="preserve">reviewed by the </w:t>
      </w:r>
      <w:r w:rsidR="003B3ABA">
        <w:t xml:space="preserve">Education </w:t>
      </w:r>
      <w:r w:rsidR="00A36CBA">
        <w:t>Advisory Committee</w:t>
      </w:r>
      <w:r w:rsidR="003B3ABA">
        <w:t xml:space="preserve">; </w:t>
      </w:r>
      <w:r w:rsidR="00E805BE">
        <w:t>five</w:t>
      </w:r>
      <w:r w:rsidR="003B3ABA">
        <w:t xml:space="preserve"> </w:t>
      </w:r>
      <w:r w:rsidR="00A36CBA">
        <w:t>additional activities are being developed. A</w:t>
      </w:r>
      <w:r w:rsidR="003B3ABA">
        <w:t>n online</w:t>
      </w:r>
      <w:r w:rsidR="00A36CBA">
        <w:t xml:space="preserve"> needs assessment of secondary teachers in the Southeast was completed</w:t>
      </w:r>
      <w:r w:rsidR="003B3ABA">
        <w:t xml:space="preserve"> in May, with a total of </w:t>
      </w:r>
      <w:r w:rsidR="004C7E47">
        <w:t>732</w:t>
      </w:r>
      <w:r w:rsidR="003B3ABA">
        <w:t xml:space="preserve"> respondents. </w:t>
      </w:r>
    </w:p>
    <w:p w:rsidR="008612BE" w:rsidRDefault="008612BE"/>
    <w:p w:rsidR="00F57F5A" w:rsidRDefault="00F57F5A">
      <w:pPr>
        <w:rPr>
          <w:b/>
          <w:color w:val="FF0000"/>
        </w:rPr>
      </w:pPr>
      <w:r w:rsidRPr="00AE1A3E">
        <w:rPr>
          <w:b/>
          <w:u w:val="single"/>
        </w:rPr>
        <w:t>Outputs</w:t>
      </w:r>
      <w:r w:rsidRPr="00C332EF">
        <w:rPr>
          <w:b/>
        </w:rPr>
        <w:t xml:space="preserve"> </w:t>
      </w:r>
    </w:p>
    <w:p w:rsidR="00C74C95" w:rsidRPr="00070B48" w:rsidRDefault="00C74C95" w:rsidP="00070B48">
      <w:pPr>
        <w:rPr>
          <w:color w:val="FF0000"/>
        </w:rPr>
      </w:pPr>
    </w:p>
    <w:p w:rsidR="002E6F56" w:rsidRDefault="004A361A" w:rsidP="003D1EFD">
      <w:pPr>
        <w:shd w:val="clear" w:color="auto" w:fill="D9D9D9" w:themeFill="background1" w:themeFillShade="D9"/>
      </w:pPr>
      <w:r w:rsidRPr="004A361A">
        <w:t xml:space="preserve">List </w:t>
      </w:r>
      <w:r w:rsidR="00FB37F7" w:rsidRPr="003D1EFD">
        <w:rPr>
          <w:b/>
          <w:i/>
        </w:rPr>
        <w:t>Products</w:t>
      </w:r>
      <w:r w:rsidR="00FB37F7">
        <w:rPr>
          <w:b/>
        </w:rPr>
        <w:t xml:space="preserve"> </w:t>
      </w:r>
      <w:r w:rsidR="004D3C81">
        <w:t>developed/completed January</w:t>
      </w:r>
      <w:r w:rsidR="007D3D87" w:rsidRPr="007D3D87">
        <w:t>-November 2012</w:t>
      </w:r>
      <w:r w:rsidR="007D3D87">
        <w:t xml:space="preserve"> </w:t>
      </w:r>
      <w:r w:rsidR="00FB37F7">
        <w:t>(</w:t>
      </w:r>
      <w:r w:rsidR="007D3D87">
        <w:t xml:space="preserve">including </w:t>
      </w:r>
      <w:r w:rsidR="00E572B1">
        <w:t xml:space="preserve">published, in press, or in review </w:t>
      </w:r>
      <w:r w:rsidR="00336DF3">
        <w:t>peer-reviewed publications</w:t>
      </w:r>
      <w:r w:rsidR="007D3D87">
        <w:t xml:space="preserve">; </w:t>
      </w:r>
      <w:r w:rsidR="00FB37F7">
        <w:t xml:space="preserve">other written materials such as white papers, </w:t>
      </w:r>
      <w:r w:rsidR="00816CAF">
        <w:t xml:space="preserve">research summaries, </w:t>
      </w:r>
      <w:r w:rsidR="00FB37F7">
        <w:t xml:space="preserve">fact sheets, </w:t>
      </w:r>
      <w:r w:rsidR="00336DF3">
        <w:t>or</w:t>
      </w:r>
      <w:r w:rsidR="007D3D87">
        <w:t xml:space="preserve"> popular press articles;</w:t>
      </w:r>
      <w:r w:rsidR="00FB37F7">
        <w:t xml:space="preserve"> </w:t>
      </w:r>
      <w:r w:rsidR="007D3D87">
        <w:t>audio or video products; etc.)</w:t>
      </w:r>
      <w:r w:rsidR="00E572B1">
        <w:t>.</w:t>
      </w:r>
    </w:p>
    <w:p w:rsidR="00773B74" w:rsidRPr="00773B74" w:rsidRDefault="00773B74" w:rsidP="003D1EFD">
      <w:pPr>
        <w:shd w:val="clear" w:color="auto" w:fill="D9D9D9" w:themeFill="background1" w:themeFillShade="D9"/>
        <w:rPr>
          <w:sz w:val="16"/>
        </w:rPr>
      </w:pPr>
    </w:p>
    <w:p w:rsidR="00773B74" w:rsidRPr="00CD4B01" w:rsidRDefault="00773B74" w:rsidP="00773B74">
      <w:pPr>
        <w:shd w:val="clear" w:color="auto" w:fill="D9D9D9" w:themeFill="background1" w:themeFillShade="D9"/>
        <w:rPr>
          <w:i/>
          <w:color w:val="FF0000"/>
        </w:rPr>
      </w:pPr>
      <w:r w:rsidRPr="00CD4B01">
        <w:rPr>
          <w:i/>
        </w:rPr>
        <w:t xml:space="preserve">A list of </w:t>
      </w:r>
      <w:r>
        <w:rPr>
          <w:i/>
        </w:rPr>
        <w:t xml:space="preserve">currently documented </w:t>
      </w:r>
      <w:r w:rsidR="009A589B">
        <w:rPr>
          <w:i/>
        </w:rPr>
        <w:t xml:space="preserve">2012 </w:t>
      </w:r>
      <w:r w:rsidR="006F4110">
        <w:rPr>
          <w:i/>
        </w:rPr>
        <w:t xml:space="preserve">Aim 5 </w:t>
      </w:r>
      <w:r>
        <w:rPr>
          <w:i/>
        </w:rPr>
        <w:t>p</w:t>
      </w:r>
      <w:r w:rsidRPr="00CD4B01">
        <w:rPr>
          <w:i/>
        </w:rPr>
        <w:t>eer-reviewed publications is provided; please update as necessary.</w:t>
      </w:r>
    </w:p>
    <w:p w:rsidR="00FB37F7" w:rsidRDefault="00FB37F7"/>
    <w:p w:rsidR="00FB37F7" w:rsidRDefault="00DE109F">
      <w:pPr>
        <w:rPr>
          <w:b/>
        </w:rPr>
      </w:pPr>
      <w:r w:rsidRPr="00DE109F">
        <w:rPr>
          <w:b/>
        </w:rPr>
        <w:t>Aim 5 Peer-reviewed publications</w:t>
      </w:r>
      <w:r w:rsidR="00C84427">
        <w:rPr>
          <w:b/>
        </w:rPr>
        <w:t xml:space="preserve"> (Jan.-June 2012)</w:t>
      </w:r>
    </w:p>
    <w:p w:rsidR="00DE109F" w:rsidRPr="00DE109F" w:rsidRDefault="00DE109F">
      <w:pPr>
        <w:rPr>
          <w:b/>
        </w:rPr>
      </w:pPr>
    </w:p>
    <w:p w:rsidR="00DE109F" w:rsidRPr="00DE109F" w:rsidRDefault="00DE109F" w:rsidP="00600043">
      <w:pPr>
        <w:pStyle w:val="ListParagraph"/>
        <w:numPr>
          <w:ilvl w:val="0"/>
          <w:numId w:val="15"/>
        </w:numPr>
      </w:pPr>
      <w:r w:rsidRPr="00DE109F">
        <w:t xml:space="preserve">Monroe, M.C. </w:t>
      </w:r>
      <w:r w:rsidR="003B3ABA">
        <w:t>I</w:t>
      </w:r>
      <w:r w:rsidR="00311165">
        <w:t>n press</w:t>
      </w:r>
      <w:r w:rsidRPr="00DE109F">
        <w:t xml:space="preserve">. Enhancing both Cooperative Extension and national environmental education resources. </w:t>
      </w:r>
      <w:r w:rsidRPr="00600043">
        <w:rPr>
          <w:i/>
        </w:rPr>
        <w:t>Journal of Extension</w:t>
      </w:r>
      <w:r w:rsidRPr="00DE109F">
        <w:t>.</w:t>
      </w:r>
    </w:p>
    <w:p w:rsidR="003D1EFD" w:rsidRDefault="003D1EFD" w:rsidP="003D1EFD">
      <w:pPr>
        <w:shd w:val="clear" w:color="auto" w:fill="D9D9D9" w:themeFill="background1" w:themeFillShade="D9"/>
      </w:pPr>
      <w:r w:rsidRPr="003D1EFD">
        <w:lastRenderedPageBreak/>
        <w:t>Summarize</w:t>
      </w:r>
      <w:r>
        <w:rPr>
          <w:b/>
        </w:rPr>
        <w:t xml:space="preserve"> </w:t>
      </w:r>
      <w:r w:rsidR="00F57F5A" w:rsidRPr="003D1EFD">
        <w:rPr>
          <w:b/>
          <w:i/>
        </w:rPr>
        <w:t>Events</w:t>
      </w:r>
      <w:r w:rsidR="00C332EF" w:rsidRPr="003D1EFD">
        <w:rPr>
          <w:b/>
          <w:i/>
        </w:rPr>
        <w:t>/Activities</w:t>
      </w:r>
      <w:r w:rsidR="00AF14B9">
        <w:t xml:space="preserve"> </w:t>
      </w:r>
      <w:r w:rsidR="009A589B">
        <w:t xml:space="preserve">(January 2012-current) </w:t>
      </w:r>
      <w:r>
        <w:t>as follows:</w:t>
      </w:r>
    </w:p>
    <w:p w:rsidR="007D3D87" w:rsidRDefault="004A361A" w:rsidP="003D1EFD">
      <w:pPr>
        <w:pStyle w:val="ListParagraph"/>
        <w:numPr>
          <w:ilvl w:val="0"/>
          <w:numId w:val="2"/>
        </w:numPr>
        <w:shd w:val="clear" w:color="auto" w:fill="D9D9D9" w:themeFill="background1" w:themeFillShade="D9"/>
        <w:ind w:left="720"/>
      </w:pPr>
      <w:r>
        <w:t>Provide a bulleted l</w:t>
      </w:r>
      <w:r w:rsidR="00487FD9">
        <w:t>ist</w:t>
      </w:r>
      <w:r w:rsidR="00AF14B9">
        <w:t xml:space="preserve"> </w:t>
      </w:r>
      <w:r>
        <w:t xml:space="preserve">of </w:t>
      </w:r>
      <w:r w:rsidR="00AF14B9" w:rsidRPr="003D1EFD">
        <w:t>p</w:t>
      </w:r>
      <w:r w:rsidR="007D3D87" w:rsidRPr="003D1EFD">
        <w:t>resentations (oral and poster)</w:t>
      </w:r>
      <w:r w:rsidR="007D3D87">
        <w:t xml:space="preserve"> </w:t>
      </w:r>
      <w:r w:rsidR="00FB37F7">
        <w:t>gi</w:t>
      </w:r>
      <w:r w:rsidR="00AF14B9">
        <w:t>ven at meetings or conferences</w:t>
      </w:r>
      <w:r w:rsidR="007D3D87">
        <w:t>.</w:t>
      </w:r>
      <w:r w:rsidR="00AF14B9" w:rsidRPr="00AF14B9">
        <w:t xml:space="preserve"> </w:t>
      </w:r>
      <w:r w:rsidR="007D3D87">
        <w:t>The f</w:t>
      </w:r>
      <w:r w:rsidR="00AF14B9">
        <w:t xml:space="preserve">ormat for </w:t>
      </w:r>
      <w:r w:rsidR="007D3D87">
        <w:t>citing presentations is as follows:</w:t>
      </w:r>
      <w:r w:rsidR="00AF14B9">
        <w:t xml:space="preserve"> </w:t>
      </w:r>
    </w:p>
    <w:p w:rsidR="00AF14B9" w:rsidRDefault="00AF14B9" w:rsidP="003D1EFD">
      <w:pPr>
        <w:pStyle w:val="ListParagraph"/>
        <w:shd w:val="clear" w:color="auto" w:fill="D9D9D9" w:themeFill="background1" w:themeFillShade="D9"/>
        <w:ind w:left="360" w:firstLine="360"/>
      </w:pPr>
      <w:proofErr w:type="gramStart"/>
      <w:r>
        <w:t>Presenter</w:t>
      </w:r>
      <w:r w:rsidR="008F59BE">
        <w:t>(</w:t>
      </w:r>
      <w:r>
        <w:t>s</w:t>
      </w:r>
      <w:r w:rsidR="008F59BE">
        <w:t>)</w:t>
      </w:r>
      <w:r>
        <w:t>/Author</w:t>
      </w:r>
      <w:r w:rsidR="008F59BE">
        <w:t>(</w:t>
      </w:r>
      <w:r>
        <w:t>s</w:t>
      </w:r>
      <w:r w:rsidR="008F59BE">
        <w:t>)</w:t>
      </w:r>
      <w:r>
        <w:t>.</w:t>
      </w:r>
      <w:proofErr w:type="gramEnd"/>
      <w:r>
        <w:t xml:space="preserve"> </w:t>
      </w:r>
      <w:proofErr w:type="gramStart"/>
      <w:r>
        <w:t>Date.</w:t>
      </w:r>
      <w:proofErr w:type="gramEnd"/>
      <w:r>
        <w:t xml:space="preserve"> Name/title of meeting/conference, location.</w:t>
      </w:r>
    </w:p>
    <w:p w:rsidR="004C1750" w:rsidRDefault="004C1750" w:rsidP="003D1EFD">
      <w:pPr>
        <w:pStyle w:val="ListParagraph"/>
        <w:shd w:val="clear" w:color="auto" w:fill="D9D9D9" w:themeFill="background1" w:themeFillShade="D9"/>
        <w:ind w:left="360" w:firstLine="360"/>
      </w:pPr>
    </w:p>
    <w:p w:rsidR="002D3117" w:rsidRPr="00FB5829" w:rsidRDefault="002D3117" w:rsidP="00FB5829">
      <w:pPr>
        <w:pStyle w:val="Default"/>
        <w:numPr>
          <w:ilvl w:val="0"/>
          <w:numId w:val="12"/>
        </w:numPr>
        <w:rPr>
          <w:rFonts w:asciiTheme="minorHAnsi" w:hAnsiTheme="minorHAnsi" w:cstheme="minorHAnsi"/>
        </w:rPr>
      </w:pPr>
      <w:r w:rsidRPr="00FB5829">
        <w:rPr>
          <w:rFonts w:asciiTheme="minorHAnsi" w:hAnsiTheme="minorHAnsi" w:cstheme="minorHAnsi"/>
        </w:rPr>
        <w:t>Kidd, J</w:t>
      </w:r>
      <w:r w:rsidR="00E27E9A">
        <w:rPr>
          <w:rFonts w:asciiTheme="minorHAnsi" w:hAnsiTheme="minorHAnsi" w:cstheme="minorHAnsi"/>
        </w:rPr>
        <w:t>.</w:t>
      </w:r>
      <w:r w:rsidRPr="00FB5829">
        <w:rPr>
          <w:rFonts w:asciiTheme="minorHAnsi" w:hAnsiTheme="minorHAnsi" w:cstheme="minorHAnsi"/>
        </w:rPr>
        <w:t>B</w:t>
      </w:r>
      <w:r w:rsidR="00E27E9A">
        <w:rPr>
          <w:rFonts w:asciiTheme="minorHAnsi" w:hAnsiTheme="minorHAnsi" w:cstheme="minorHAnsi"/>
        </w:rPr>
        <w:t>.</w:t>
      </w:r>
      <w:r w:rsidRPr="00FB5829">
        <w:rPr>
          <w:rFonts w:asciiTheme="minorHAnsi" w:hAnsiTheme="minorHAnsi" w:cstheme="minorHAnsi"/>
        </w:rPr>
        <w:t>, J</w:t>
      </w:r>
      <w:r w:rsidR="00E27E9A">
        <w:rPr>
          <w:rFonts w:asciiTheme="minorHAnsi" w:hAnsiTheme="minorHAnsi" w:cstheme="minorHAnsi"/>
        </w:rPr>
        <w:t>.</w:t>
      </w:r>
      <w:r w:rsidRPr="00FB5829">
        <w:rPr>
          <w:rFonts w:asciiTheme="minorHAnsi" w:hAnsiTheme="minorHAnsi" w:cstheme="minorHAnsi"/>
        </w:rPr>
        <w:t>R</w:t>
      </w:r>
      <w:r w:rsidR="00E27E9A">
        <w:rPr>
          <w:rFonts w:asciiTheme="minorHAnsi" w:hAnsiTheme="minorHAnsi" w:cstheme="minorHAnsi"/>
        </w:rPr>
        <w:t>.</w:t>
      </w:r>
      <w:r w:rsidRPr="00FB5829">
        <w:rPr>
          <w:rFonts w:asciiTheme="minorHAnsi" w:hAnsiTheme="minorHAnsi" w:cstheme="minorHAnsi"/>
        </w:rPr>
        <w:t xml:space="preserve"> Seiler, M</w:t>
      </w:r>
      <w:r w:rsidR="00E27E9A">
        <w:rPr>
          <w:rFonts w:asciiTheme="minorHAnsi" w:hAnsiTheme="minorHAnsi" w:cstheme="minorHAnsi"/>
        </w:rPr>
        <w:t>.</w:t>
      </w:r>
      <w:r w:rsidRPr="00FB5829">
        <w:rPr>
          <w:rFonts w:asciiTheme="minorHAnsi" w:hAnsiTheme="minorHAnsi" w:cstheme="minorHAnsi"/>
        </w:rPr>
        <w:t>C</w:t>
      </w:r>
      <w:r w:rsidR="00E27E9A">
        <w:rPr>
          <w:rFonts w:asciiTheme="minorHAnsi" w:hAnsiTheme="minorHAnsi" w:cstheme="minorHAnsi"/>
        </w:rPr>
        <w:t>.</w:t>
      </w:r>
      <w:r w:rsidRPr="00FB5829">
        <w:rPr>
          <w:rFonts w:asciiTheme="minorHAnsi" w:hAnsiTheme="minorHAnsi" w:cstheme="minorHAnsi"/>
        </w:rPr>
        <w:t xml:space="preserve"> Monroe, and S</w:t>
      </w:r>
      <w:r w:rsidR="00E27E9A">
        <w:rPr>
          <w:rFonts w:asciiTheme="minorHAnsi" w:hAnsiTheme="minorHAnsi" w:cstheme="minorHAnsi"/>
        </w:rPr>
        <w:t>.</w:t>
      </w:r>
      <w:r w:rsidRPr="00FB5829">
        <w:rPr>
          <w:rFonts w:asciiTheme="minorHAnsi" w:hAnsiTheme="minorHAnsi" w:cstheme="minorHAnsi"/>
        </w:rPr>
        <w:t xml:space="preserve"> Sriharan. 2012. The PINEMAP Intern Program: Integrating undergraduates into forest resource and climate change research and education. PINEMAP</w:t>
      </w:r>
      <w:r>
        <w:rPr>
          <w:rFonts w:asciiTheme="minorHAnsi" w:hAnsiTheme="minorHAnsi" w:cstheme="minorHAnsi"/>
        </w:rPr>
        <w:t xml:space="preserve"> </w:t>
      </w:r>
      <w:r w:rsidRPr="00FB5829">
        <w:rPr>
          <w:rFonts w:asciiTheme="minorHAnsi" w:hAnsiTheme="minorHAnsi" w:cstheme="minorHAnsi"/>
        </w:rPr>
        <w:t>Annual Conference</w:t>
      </w:r>
      <w:r w:rsidR="00731FF4">
        <w:rPr>
          <w:rFonts w:asciiTheme="minorHAnsi" w:hAnsiTheme="minorHAnsi" w:cstheme="minorHAnsi"/>
        </w:rPr>
        <w:t>, May 14-16</w:t>
      </w:r>
      <w:r w:rsidRPr="00FB5829">
        <w:rPr>
          <w:rFonts w:asciiTheme="minorHAnsi" w:hAnsiTheme="minorHAnsi" w:cstheme="minorHAnsi"/>
        </w:rPr>
        <w:t xml:space="preserve">, Atlanta, GA. [Poster]. </w:t>
      </w:r>
    </w:p>
    <w:p w:rsidR="00AF14B9" w:rsidRDefault="002D3117" w:rsidP="00FB5829">
      <w:pPr>
        <w:pStyle w:val="ListParagraph"/>
        <w:numPr>
          <w:ilvl w:val="0"/>
          <w:numId w:val="12"/>
        </w:numPr>
        <w:rPr>
          <w:rFonts w:cstheme="minorHAnsi"/>
        </w:rPr>
      </w:pPr>
      <w:r w:rsidRPr="002D3117">
        <w:rPr>
          <w:rFonts w:cstheme="minorHAnsi"/>
        </w:rPr>
        <w:t>Kidd, J</w:t>
      </w:r>
      <w:r w:rsidR="00E27E9A">
        <w:rPr>
          <w:rFonts w:cstheme="minorHAnsi"/>
        </w:rPr>
        <w:t>.</w:t>
      </w:r>
      <w:r w:rsidRPr="002D3117">
        <w:rPr>
          <w:rFonts w:cstheme="minorHAnsi"/>
        </w:rPr>
        <w:t>B</w:t>
      </w:r>
      <w:r w:rsidR="00E27E9A">
        <w:rPr>
          <w:rFonts w:cstheme="minorHAnsi"/>
        </w:rPr>
        <w:t>.</w:t>
      </w:r>
      <w:r w:rsidRPr="002D3117">
        <w:rPr>
          <w:rFonts w:cstheme="minorHAnsi"/>
        </w:rPr>
        <w:t>, J</w:t>
      </w:r>
      <w:r w:rsidR="00E27E9A">
        <w:rPr>
          <w:rFonts w:cstheme="minorHAnsi"/>
        </w:rPr>
        <w:t>.</w:t>
      </w:r>
      <w:r w:rsidRPr="002D3117">
        <w:rPr>
          <w:rFonts w:cstheme="minorHAnsi"/>
        </w:rPr>
        <w:t>R</w:t>
      </w:r>
      <w:r w:rsidR="00E27E9A">
        <w:rPr>
          <w:rFonts w:cstheme="minorHAnsi"/>
        </w:rPr>
        <w:t>.</w:t>
      </w:r>
      <w:r w:rsidRPr="002D3117">
        <w:rPr>
          <w:rFonts w:cstheme="minorHAnsi"/>
        </w:rPr>
        <w:t xml:space="preserve"> Seiler, M</w:t>
      </w:r>
      <w:r w:rsidR="00E27E9A">
        <w:rPr>
          <w:rFonts w:cstheme="minorHAnsi"/>
        </w:rPr>
        <w:t>.</w:t>
      </w:r>
      <w:r w:rsidRPr="002D3117">
        <w:rPr>
          <w:rFonts w:cstheme="minorHAnsi"/>
        </w:rPr>
        <w:t>C</w:t>
      </w:r>
      <w:r w:rsidR="00E27E9A">
        <w:rPr>
          <w:rFonts w:cstheme="minorHAnsi"/>
        </w:rPr>
        <w:t>.</w:t>
      </w:r>
      <w:r w:rsidRPr="002D3117">
        <w:rPr>
          <w:rFonts w:cstheme="minorHAnsi"/>
        </w:rPr>
        <w:t xml:space="preserve"> Monroe, and S</w:t>
      </w:r>
      <w:r w:rsidR="00E27E9A">
        <w:rPr>
          <w:rFonts w:cstheme="minorHAnsi"/>
        </w:rPr>
        <w:t>.</w:t>
      </w:r>
      <w:r w:rsidRPr="002D3117">
        <w:rPr>
          <w:rFonts w:cstheme="minorHAnsi"/>
        </w:rPr>
        <w:t xml:space="preserve"> Sriharan. 2012. The PINEMAP Intern Program: Integrating undergraduates into forest resource and climate change research and education. Biennial Conference on Undergraduate Education in </w:t>
      </w:r>
      <w:r>
        <w:rPr>
          <w:rFonts w:cstheme="minorHAnsi"/>
        </w:rPr>
        <w:t>Natural</w:t>
      </w:r>
      <w:r w:rsidRPr="002D3117">
        <w:rPr>
          <w:rFonts w:cstheme="minorHAnsi"/>
        </w:rPr>
        <w:t xml:space="preserve"> Resources, </w:t>
      </w:r>
      <w:r w:rsidR="00731FF4">
        <w:rPr>
          <w:rFonts w:cstheme="minorHAnsi"/>
        </w:rPr>
        <w:t xml:space="preserve">March 23-24, </w:t>
      </w:r>
      <w:r w:rsidRPr="002D3117">
        <w:rPr>
          <w:rFonts w:cstheme="minorHAnsi"/>
        </w:rPr>
        <w:t>Fort Collins, CO. [Oral].</w:t>
      </w:r>
    </w:p>
    <w:p w:rsidR="00821043" w:rsidRPr="00920CD6" w:rsidRDefault="00821043" w:rsidP="00821043">
      <w:pPr>
        <w:pStyle w:val="ListParagraph"/>
        <w:numPr>
          <w:ilvl w:val="0"/>
          <w:numId w:val="12"/>
        </w:numPr>
        <w:spacing w:after="120"/>
      </w:pPr>
      <w:r w:rsidRPr="00920CD6">
        <w:t>Fowler</w:t>
      </w:r>
      <w:r>
        <w:t>, S.</w:t>
      </w:r>
      <w:r w:rsidRPr="00920CD6">
        <w:t>, J</w:t>
      </w:r>
      <w:r>
        <w:t>.</w:t>
      </w:r>
      <w:r w:rsidRPr="00920CD6">
        <w:t xml:space="preserve"> </w:t>
      </w:r>
      <w:r>
        <w:t xml:space="preserve">Munsell </w:t>
      </w:r>
      <w:r w:rsidRPr="00920CD6">
        <w:t>and J</w:t>
      </w:r>
      <w:r>
        <w:t xml:space="preserve">. </w:t>
      </w:r>
      <w:r w:rsidRPr="00920CD6">
        <w:t>Seiler</w:t>
      </w:r>
      <w:r>
        <w:t xml:space="preserve">. 2012. </w:t>
      </w:r>
      <w:r w:rsidRPr="00920CD6">
        <w:t>High school science teachers and forestry education: How are they connected?</w:t>
      </w:r>
      <w:r>
        <w:t xml:space="preserve"> 9</w:t>
      </w:r>
      <w:r w:rsidRPr="00821043">
        <w:rPr>
          <w:vertAlign w:val="superscript"/>
        </w:rPr>
        <w:t>th</w:t>
      </w:r>
      <w:r>
        <w:t xml:space="preserve"> Biennial Conference in University Education in Natural Resources, March 23-24,</w:t>
      </w:r>
      <w:r w:rsidRPr="0069025D">
        <w:t xml:space="preserve"> </w:t>
      </w:r>
      <w:r>
        <w:t>Fort Collins, CO.</w:t>
      </w:r>
      <w:r w:rsidRPr="00821043">
        <w:rPr>
          <w:rFonts w:cstheme="minorHAnsi"/>
        </w:rPr>
        <w:t xml:space="preserve"> </w:t>
      </w:r>
      <w:r w:rsidRPr="002D3117">
        <w:rPr>
          <w:rFonts w:cstheme="minorHAnsi"/>
        </w:rPr>
        <w:t>[Oral]</w:t>
      </w:r>
      <w:r w:rsidR="00071D96">
        <w:rPr>
          <w:rFonts w:cstheme="minorHAnsi"/>
        </w:rPr>
        <w:t>.</w:t>
      </w:r>
    </w:p>
    <w:p w:rsidR="00821043" w:rsidRPr="00071D96" w:rsidRDefault="00821043" w:rsidP="00821043">
      <w:pPr>
        <w:pStyle w:val="ListParagraph"/>
        <w:numPr>
          <w:ilvl w:val="0"/>
          <w:numId w:val="12"/>
        </w:numPr>
        <w:rPr>
          <w:rFonts w:ascii="Arial" w:hAnsi="Arial" w:cs="Arial"/>
          <w:bCs/>
          <w:sz w:val="22"/>
        </w:rPr>
      </w:pPr>
      <w:r w:rsidRPr="00920CD6">
        <w:t>Fowler</w:t>
      </w:r>
      <w:r>
        <w:t>, S.</w:t>
      </w:r>
      <w:r w:rsidRPr="00920CD6">
        <w:t>, J</w:t>
      </w:r>
      <w:r>
        <w:t>.</w:t>
      </w:r>
      <w:r w:rsidRPr="00920CD6">
        <w:t xml:space="preserve"> </w:t>
      </w:r>
      <w:r>
        <w:t xml:space="preserve">Munsell, </w:t>
      </w:r>
      <w:r w:rsidRPr="00920CD6">
        <w:t>and J</w:t>
      </w:r>
      <w:r>
        <w:t xml:space="preserve">. </w:t>
      </w:r>
      <w:r w:rsidRPr="00920CD6">
        <w:t>Seiler</w:t>
      </w:r>
      <w:r>
        <w:t xml:space="preserve">. 2011. </w:t>
      </w:r>
      <w:r w:rsidRPr="00920CD6">
        <w:t>High school science teachers and forestry education: How are they connected?</w:t>
      </w:r>
      <w:r>
        <w:t xml:space="preserve"> SAF National Convention, Nov. 2-6,</w:t>
      </w:r>
      <w:r w:rsidRPr="0069025D">
        <w:t xml:space="preserve"> </w:t>
      </w:r>
      <w:r>
        <w:t>Honolulu, HI.</w:t>
      </w:r>
      <w:r w:rsidRPr="00821043">
        <w:rPr>
          <w:rFonts w:cstheme="minorHAnsi"/>
        </w:rPr>
        <w:t xml:space="preserve"> </w:t>
      </w:r>
      <w:r w:rsidRPr="002D3117">
        <w:rPr>
          <w:rFonts w:cstheme="minorHAnsi"/>
        </w:rPr>
        <w:t>[Oral]</w:t>
      </w:r>
      <w:r w:rsidR="00071D96">
        <w:rPr>
          <w:rFonts w:cstheme="minorHAnsi"/>
        </w:rPr>
        <w:t>.</w:t>
      </w:r>
    </w:p>
    <w:p w:rsidR="00071D96" w:rsidRDefault="00071D96" w:rsidP="00071D96">
      <w:pPr>
        <w:pStyle w:val="ListParagraph"/>
        <w:numPr>
          <w:ilvl w:val="0"/>
          <w:numId w:val="12"/>
        </w:numPr>
        <w:rPr>
          <w:rFonts w:cstheme="minorHAnsi"/>
        </w:rPr>
      </w:pPr>
      <w:r w:rsidRPr="004C1750">
        <w:rPr>
          <w:rFonts w:cstheme="minorHAnsi"/>
        </w:rPr>
        <w:t>Hall, S. and M. C. Monroe. 2012. Climate change education for secondary students.</w:t>
      </w:r>
      <w:r w:rsidRPr="00C44D0E">
        <w:rPr>
          <w:rFonts w:cstheme="minorHAnsi"/>
        </w:rPr>
        <w:t xml:space="preserve"> </w:t>
      </w:r>
      <w:r w:rsidRPr="00A36CBA">
        <w:rPr>
          <w:rFonts w:cstheme="minorHAnsi"/>
        </w:rPr>
        <w:t xml:space="preserve">PINEMAP Annual Conference, May 14-16, Atlanta, GA. [Poster]. </w:t>
      </w:r>
    </w:p>
    <w:p w:rsidR="00071D96" w:rsidRPr="00C44D0E" w:rsidRDefault="00071D96" w:rsidP="00071D96">
      <w:pPr>
        <w:pStyle w:val="ListParagraph"/>
        <w:numPr>
          <w:ilvl w:val="0"/>
          <w:numId w:val="12"/>
        </w:numPr>
        <w:rPr>
          <w:rFonts w:cstheme="minorHAnsi"/>
        </w:rPr>
      </w:pPr>
      <w:r>
        <w:rPr>
          <w:rFonts w:cstheme="minorHAnsi"/>
        </w:rPr>
        <w:t xml:space="preserve">Oxarart, A., M. C. Monroe, S. Hall, J. Li, and A. Stenstrup. 2012. Project Learning Tree Secondary Module: Southern Forests and Climate Change. </w:t>
      </w:r>
      <w:r w:rsidRPr="00FB5829">
        <w:rPr>
          <w:rFonts w:cstheme="minorHAnsi"/>
        </w:rPr>
        <w:t>PINEMAP</w:t>
      </w:r>
      <w:r>
        <w:rPr>
          <w:rFonts w:cstheme="minorHAnsi"/>
        </w:rPr>
        <w:t xml:space="preserve"> </w:t>
      </w:r>
      <w:r w:rsidRPr="00FB5829">
        <w:rPr>
          <w:rFonts w:cstheme="minorHAnsi"/>
        </w:rPr>
        <w:t>Annual Conference</w:t>
      </w:r>
      <w:r>
        <w:rPr>
          <w:rFonts w:cstheme="minorHAnsi"/>
        </w:rPr>
        <w:t>, May 14-16</w:t>
      </w:r>
      <w:r w:rsidRPr="00FB5829">
        <w:rPr>
          <w:rFonts w:cstheme="minorHAnsi"/>
        </w:rPr>
        <w:t xml:space="preserve">, Atlanta, GA. [Poster]. </w:t>
      </w:r>
    </w:p>
    <w:p w:rsidR="00071D96" w:rsidRDefault="00071D96" w:rsidP="00071D96">
      <w:pPr>
        <w:pStyle w:val="ListParagraph"/>
      </w:pPr>
    </w:p>
    <w:p w:rsidR="006A03A3" w:rsidRDefault="00DC4B0B" w:rsidP="003D1EFD">
      <w:pPr>
        <w:pStyle w:val="ListParagraph"/>
        <w:numPr>
          <w:ilvl w:val="0"/>
          <w:numId w:val="2"/>
        </w:numPr>
        <w:shd w:val="clear" w:color="auto" w:fill="D9D9D9" w:themeFill="background1" w:themeFillShade="D9"/>
        <w:ind w:left="720"/>
      </w:pPr>
      <w:r>
        <w:t>Provide a short narrative describing</w:t>
      </w:r>
      <w:r w:rsidR="00AF14B9">
        <w:t xml:space="preserve"> </w:t>
      </w:r>
      <w:r w:rsidR="007D3D87">
        <w:t xml:space="preserve">any </w:t>
      </w:r>
      <w:r w:rsidR="00AF14B9">
        <w:t>w</w:t>
      </w:r>
      <w:r w:rsidR="00FB37F7">
        <w:t>orksho</w:t>
      </w:r>
      <w:r w:rsidR="007D3D87">
        <w:t xml:space="preserve">ps, courses, and/or </w:t>
      </w:r>
      <w:r w:rsidR="00AF14B9">
        <w:t xml:space="preserve">trainings </w:t>
      </w:r>
      <w:r w:rsidR="00E572B1">
        <w:t>conducted.</w:t>
      </w:r>
    </w:p>
    <w:p w:rsidR="00AF14B9" w:rsidRDefault="00AF14B9" w:rsidP="004E77D3">
      <w:pPr>
        <w:ind w:firstLine="360"/>
      </w:pPr>
    </w:p>
    <w:p w:rsidR="004C1750" w:rsidRPr="00940F0C" w:rsidRDefault="004C1750" w:rsidP="00600043">
      <w:pPr>
        <w:ind w:left="360"/>
        <w:rPr>
          <w:rFonts w:cstheme="minorHAnsi"/>
          <w:b/>
        </w:rPr>
      </w:pPr>
      <w:r w:rsidRPr="00940F0C">
        <w:rPr>
          <w:rFonts w:cstheme="minorHAnsi"/>
          <w:b/>
        </w:rPr>
        <w:t xml:space="preserve">Distance </w:t>
      </w:r>
      <w:r>
        <w:rPr>
          <w:rFonts w:cstheme="minorHAnsi"/>
          <w:b/>
        </w:rPr>
        <w:t xml:space="preserve">Graduate </w:t>
      </w:r>
      <w:r w:rsidRPr="00940F0C">
        <w:rPr>
          <w:rFonts w:cstheme="minorHAnsi"/>
          <w:b/>
        </w:rPr>
        <w:t>Course</w:t>
      </w:r>
    </w:p>
    <w:p w:rsidR="00A77214" w:rsidRDefault="00A77214" w:rsidP="00600043">
      <w:pPr>
        <w:ind w:left="360"/>
        <w:rPr>
          <w:rFonts w:cstheme="minorHAnsi"/>
        </w:rPr>
      </w:pPr>
      <w:r w:rsidRPr="00E830DD">
        <w:rPr>
          <w:rFonts w:cstheme="minorHAnsi"/>
        </w:rPr>
        <w:t>A distance graduate course</w:t>
      </w:r>
      <w:r>
        <w:rPr>
          <w:rFonts w:cstheme="minorHAnsi"/>
        </w:rPr>
        <w:t xml:space="preserve">, </w:t>
      </w:r>
      <w:r w:rsidRPr="00A34203">
        <w:rPr>
          <w:rFonts w:cstheme="minorHAnsi"/>
          <w:i/>
        </w:rPr>
        <w:t>Climate and Forests</w:t>
      </w:r>
      <w:r>
        <w:rPr>
          <w:rFonts w:cstheme="minorHAnsi"/>
        </w:rPr>
        <w:t xml:space="preserve">, </w:t>
      </w:r>
      <w:r w:rsidRPr="00E830DD">
        <w:rPr>
          <w:rFonts w:cstheme="minorHAnsi"/>
        </w:rPr>
        <w:t>was launched in the spring of 2012</w:t>
      </w:r>
      <w:r>
        <w:rPr>
          <w:rFonts w:cstheme="minorHAnsi"/>
        </w:rPr>
        <w:t xml:space="preserve">. The course goals </w:t>
      </w:r>
      <w:r w:rsidR="00600043">
        <w:rPr>
          <w:rFonts w:cstheme="minorHAnsi"/>
        </w:rPr>
        <w:t>were</w:t>
      </w:r>
      <w:r>
        <w:rPr>
          <w:rFonts w:cstheme="minorHAnsi"/>
        </w:rPr>
        <w:t xml:space="preserve"> to 1) prepare</w:t>
      </w:r>
      <w:r w:rsidRPr="00E830DD">
        <w:rPr>
          <w:rFonts w:cstheme="minorHAnsi"/>
        </w:rPr>
        <w:t xml:space="preserve"> graduate students to address climate change mitigation and adaptation issues in sout</w:t>
      </w:r>
      <w:r>
        <w:rPr>
          <w:rFonts w:cstheme="minorHAnsi"/>
        </w:rPr>
        <w:t>hern pine forests; 2) facilitate</w:t>
      </w:r>
      <w:r w:rsidRPr="00E830DD">
        <w:rPr>
          <w:rFonts w:cstheme="minorHAnsi"/>
        </w:rPr>
        <w:t xml:space="preserve"> greater levels of integration by encouraging students to engage in processes designed to enhance communication, cooperation, and collaboration among disciplines and across research, education, and Extension functions</w:t>
      </w:r>
      <w:r>
        <w:rPr>
          <w:rFonts w:cstheme="minorHAnsi"/>
        </w:rPr>
        <w:t>; and 3) build interdisciplinary research, education, and outreach capacity</w:t>
      </w:r>
      <w:r w:rsidRPr="00E830DD">
        <w:rPr>
          <w:rFonts w:cstheme="minorHAnsi"/>
        </w:rPr>
        <w:t xml:space="preserve">. Twenty-two students (16 Ph.D. and 6 M.S.) from 8 </w:t>
      </w:r>
      <w:r>
        <w:rPr>
          <w:rFonts w:cstheme="minorHAnsi"/>
        </w:rPr>
        <w:t xml:space="preserve">southeastern </w:t>
      </w:r>
      <w:r w:rsidRPr="00E830DD">
        <w:rPr>
          <w:rFonts w:cstheme="minorHAnsi"/>
        </w:rPr>
        <w:t>universities</w:t>
      </w:r>
      <w:r w:rsidR="00A60136">
        <w:rPr>
          <w:rFonts w:cstheme="minorHAnsi"/>
        </w:rPr>
        <w:t xml:space="preserve"> participated</w:t>
      </w:r>
      <w:r w:rsidRPr="00E830DD">
        <w:rPr>
          <w:rFonts w:cstheme="minorHAnsi"/>
        </w:rPr>
        <w:t xml:space="preserve"> in the course</w:t>
      </w:r>
      <w:r w:rsidR="00A60136">
        <w:rPr>
          <w:rFonts w:cstheme="minorHAnsi"/>
        </w:rPr>
        <w:t>,</w:t>
      </w:r>
      <w:r w:rsidRPr="00E830DD">
        <w:rPr>
          <w:rFonts w:cstheme="minorHAnsi"/>
        </w:rPr>
        <w:t xml:space="preserve"> and an interdisciplinary team of 15</w:t>
      </w:r>
      <w:r>
        <w:rPr>
          <w:rFonts w:cstheme="minorHAnsi"/>
        </w:rPr>
        <w:t xml:space="preserve"> PINEMAP</w:t>
      </w:r>
      <w:r w:rsidRPr="00E830DD">
        <w:rPr>
          <w:rFonts w:cstheme="minorHAnsi"/>
        </w:rPr>
        <w:t xml:space="preserve"> </w:t>
      </w:r>
      <w:r>
        <w:rPr>
          <w:rFonts w:cstheme="minorHAnsi"/>
        </w:rPr>
        <w:t>faculty members</w:t>
      </w:r>
      <w:r w:rsidRPr="00E830DD">
        <w:rPr>
          <w:rFonts w:cstheme="minorHAnsi"/>
        </w:rPr>
        <w:t xml:space="preserve"> assisted with course instruction. </w:t>
      </w:r>
    </w:p>
    <w:p w:rsidR="00A77214" w:rsidRDefault="00A77214" w:rsidP="00600043">
      <w:pPr>
        <w:ind w:left="360"/>
        <w:rPr>
          <w:rFonts w:cstheme="minorHAnsi"/>
        </w:rPr>
      </w:pPr>
    </w:p>
    <w:p w:rsidR="00A77214" w:rsidRPr="00E830DD" w:rsidRDefault="00A77214" w:rsidP="00600043">
      <w:pPr>
        <w:ind w:left="360"/>
        <w:rPr>
          <w:rFonts w:cstheme="minorHAnsi"/>
        </w:rPr>
      </w:pPr>
      <w:r w:rsidRPr="00E830DD">
        <w:rPr>
          <w:rFonts w:cstheme="minorHAnsi"/>
        </w:rPr>
        <w:t>Students registered for 2 credits of independent study or special topics at their home institution. All course materials (readings, archiv</w:t>
      </w:r>
      <w:r>
        <w:rPr>
          <w:rFonts w:cstheme="minorHAnsi"/>
        </w:rPr>
        <w:t>ed webinars, online discussion threads</w:t>
      </w:r>
      <w:r w:rsidRPr="00E830DD">
        <w:rPr>
          <w:rFonts w:cstheme="minorHAnsi"/>
        </w:rPr>
        <w:t xml:space="preserve">, and additional resources) were hosted on </w:t>
      </w:r>
      <w:r>
        <w:rPr>
          <w:rFonts w:cstheme="minorHAnsi"/>
        </w:rPr>
        <w:t xml:space="preserve">a course web site, the </w:t>
      </w:r>
      <w:r w:rsidRPr="00E830DD">
        <w:rPr>
          <w:rFonts w:cstheme="minorHAnsi"/>
        </w:rPr>
        <w:t xml:space="preserve">PINEMAP Education Portal. </w:t>
      </w:r>
      <w:r>
        <w:rPr>
          <w:rFonts w:cstheme="minorHAnsi"/>
        </w:rPr>
        <w:t>Throughout the semester, s</w:t>
      </w:r>
      <w:r w:rsidRPr="00E830DD">
        <w:rPr>
          <w:rFonts w:cstheme="minorHAnsi"/>
        </w:rPr>
        <w:t>tudents participated in live webinars and reviewed narrated PowerPoint</w:t>
      </w:r>
      <w:r w:rsidR="000332C8">
        <w:rPr>
          <w:rFonts w:cstheme="minorHAnsi"/>
        </w:rPr>
        <w:t xml:space="preserve"> presentations</w:t>
      </w:r>
      <w:r w:rsidRPr="00E830DD">
        <w:rPr>
          <w:rFonts w:cstheme="minorHAnsi"/>
        </w:rPr>
        <w:t xml:space="preserve"> covering topics including impact of climate change on forest ecosystems, climate model projections in the southern U.S., southern forest futures, carbon scoring and policy, Extension programming, challenges to communicating about climate, </w:t>
      </w:r>
      <w:r w:rsidRPr="00E830DD">
        <w:rPr>
          <w:rFonts w:cstheme="minorHAnsi"/>
        </w:rPr>
        <w:lastRenderedPageBreak/>
        <w:t xml:space="preserve">decision support system, and interdisciplinary research. In addition, students completed readings related to each topic and participated in online discussion. </w:t>
      </w:r>
    </w:p>
    <w:p w:rsidR="00A77214" w:rsidRPr="00E830DD" w:rsidRDefault="00A77214" w:rsidP="00600043">
      <w:pPr>
        <w:ind w:left="360"/>
        <w:rPr>
          <w:rFonts w:cstheme="minorHAnsi"/>
        </w:rPr>
      </w:pPr>
    </w:p>
    <w:p w:rsidR="00A77214" w:rsidRPr="00E830DD" w:rsidRDefault="00A77214" w:rsidP="00600043">
      <w:pPr>
        <w:ind w:left="360"/>
        <w:rPr>
          <w:rFonts w:cstheme="minorHAnsi"/>
        </w:rPr>
      </w:pPr>
      <w:r w:rsidRPr="00E830DD">
        <w:rPr>
          <w:rFonts w:cstheme="minorHAnsi"/>
        </w:rPr>
        <w:t xml:space="preserve">Students completed two group assignments during the course. For the research assignment, students in each PINEMAP Aim group worked with a faculty member to </w:t>
      </w:r>
      <w:r w:rsidR="000332C8">
        <w:rPr>
          <w:rFonts w:cstheme="minorHAnsi"/>
        </w:rPr>
        <w:t>understand their research foundations and questions</w:t>
      </w:r>
      <w:r w:rsidRPr="00E830DD">
        <w:rPr>
          <w:rFonts w:cstheme="minorHAnsi"/>
        </w:rPr>
        <w:t>. In working with fellow students and faculty in their disciplines, students learned about existing disciplinary knowledge, why research i</w:t>
      </w:r>
      <w:r>
        <w:rPr>
          <w:rFonts w:cstheme="minorHAnsi"/>
        </w:rPr>
        <w:t>s proposed, and what questions</w:t>
      </w:r>
      <w:r w:rsidRPr="00E830DD">
        <w:rPr>
          <w:rFonts w:cstheme="minorHAnsi"/>
        </w:rPr>
        <w:t xml:space="preserve"> </w:t>
      </w:r>
      <w:r w:rsidR="00A60136">
        <w:rPr>
          <w:rFonts w:cstheme="minorHAnsi"/>
        </w:rPr>
        <w:t xml:space="preserve">the </w:t>
      </w:r>
      <w:r w:rsidRPr="00E830DD">
        <w:rPr>
          <w:rFonts w:cstheme="minorHAnsi"/>
        </w:rPr>
        <w:t>research is designed to answer. Student groups developed presentations to explain their Aim research to the other students. All students reviewed other groups’ presentations and answered questions during a live webinar. For the interd</w:t>
      </w:r>
      <w:r>
        <w:rPr>
          <w:rFonts w:cstheme="minorHAnsi"/>
        </w:rPr>
        <w:t>isciplinary outreach assignment</w:t>
      </w:r>
      <w:r w:rsidRPr="00E830DD">
        <w:rPr>
          <w:rFonts w:cstheme="minorHAnsi"/>
        </w:rPr>
        <w:t xml:space="preserve">, students </w:t>
      </w:r>
      <w:r w:rsidR="000332C8">
        <w:rPr>
          <w:rFonts w:cstheme="minorHAnsi"/>
        </w:rPr>
        <w:t>worked in</w:t>
      </w:r>
      <w:r w:rsidRPr="00E830DD">
        <w:rPr>
          <w:rFonts w:cstheme="minorHAnsi"/>
        </w:rPr>
        <w:t xml:space="preserve"> groups </w:t>
      </w:r>
      <w:r w:rsidR="000332C8">
        <w:rPr>
          <w:rFonts w:cstheme="minorHAnsi"/>
        </w:rPr>
        <w:t>to</w:t>
      </w:r>
      <w:r w:rsidRPr="00E830DD">
        <w:rPr>
          <w:rFonts w:cstheme="minorHAnsi"/>
        </w:rPr>
        <w:t xml:space="preserve"> develop an extension product </w:t>
      </w:r>
      <w:r>
        <w:rPr>
          <w:rFonts w:cstheme="minorHAnsi"/>
        </w:rPr>
        <w:t xml:space="preserve">(fact sheet, web site, </w:t>
      </w:r>
      <w:r w:rsidR="00A60136">
        <w:rPr>
          <w:rFonts w:cstheme="minorHAnsi"/>
        </w:rPr>
        <w:t>presentation</w:t>
      </w:r>
      <w:r>
        <w:rPr>
          <w:rFonts w:cstheme="minorHAnsi"/>
        </w:rPr>
        <w:t xml:space="preserve">, or action plan) </w:t>
      </w:r>
      <w:r w:rsidRPr="00E830DD">
        <w:rPr>
          <w:rFonts w:cstheme="minorHAnsi"/>
        </w:rPr>
        <w:t>for a target audience (limited resource landowner, private landowner, industrial/corporate landowner, or state forest agency) on the topic of southern pine forest vulnerability to climate change or management practices to enhance forest resilience. Groups created an evaluation form</w:t>
      </w:r>
      <w:r w:rsidR="008A77C9">
        <w:rPr>
          <w:rFonts w:cstheme="minorHAnsi"/>
        </w:rPr>
        <w:t>,</w:t>
      </w:r>
      <w:r w:rsidRPr="00E830DD">
        <w:rPr>
          <w:rFonts w:cstheme="minorHAnsi"/>
        </w:rPr>
        <w:t xml:space="preserve"> sent their product to a team of reviewers</w:t>
      </w:r>
      <w:r w:rsidR="008A77C9">
        <w:rPr>
          <w:rFonts w:cstheme="minorHAnsi"/>
        </w:rPr>
        <w:t xml:space="preserve">, </w:t>
      </w:r>
      <w:r w:rsidRPr="00E830DD">
        <w:rPr>
          <w:rFonts w:cstheme="minorHAnsi"/>
        </w:rPr>
        <w:t>synthesized evaluation comments</w:t>
      </w:r>
      <w:r w:rsidR="008A77C9">
        <w:rPr>
          <w:rFonts w:cstheme="minorHAnsi"/>
        </w:rPr>
        <w:t>,</w:t>
      </w:r>
      <w:r w:rsidRPr="00E830DD">
        <w:rPr>
          <w:rFonts w:cstheme="minorHAnsi"/>
        </w:rPr>
        <w:t xml:space="preserve"> and presented a brief report on their product and what they learned</w:t>
      </w:r>
      <w:r w:rsidR="00A60136">
        <w:rPr>
          <w:rFonts w:cstheme="minorHAnsi"/>
        </w:rPr>
        <w:t xml:space="preserve"> from this experience</w:t>
      </w:r>
      <w:r w:rsidRPr="00E830DD">
        <w:rPr>
          <w:rFonts w:cstheme="minorHAnsi"/>
        </w:rPr>
        <w:t xml:space="preserve">. </w:t>
      </w:r>
    </w:p>
    <w:p w:rsidR="00A77214" w:rsidRDefault="00A77214" w:rsidP="00600043">
      <w:pPr>
        <w:ind w:left="360"/>
      </w:pPr>
    </w:p>
    <w:p w:rsidR="00A77214" w:rsidRDefault="00A77214" w:rsidP="00600043">
      <w:pPr>
        <w:ind w:left="360"/>
      </w:pPr>
      <w:r>
        <w:t>At the conclusion of the course, students completed an online survey evaluation</w:t>
      </w:r>
      <w:r w:rsidR="008A77C9">
        <w:t xml:space="preserve"> and offered feedback on a webinar</w:t>
      </w:r>
      <w:r>
        <w:t xml:space="preserve">. Twenty students completed the survey which included 14 questions (3 closed-ended and 11 open-ended). Furthermore, a discussion activity regarding the course was conducted at the 2012 annual meeting to garner additional feedback from graduate students, faculty, postdocs, and staff. </w:t>
      </w:r>
    </w:p>
    <w:p w:rsidR="00A77214" w:rsidRDefault="00A77214" w:rsidP="00600043">
      <w:pPr>
        <w:ind w:left="360"/>
      </w:pPr>
    </w:p>
    <w:p w:rsidR="00A77214" w:rsidRDefault="00A77214" w:rsidP="00600043">
      <w:pPr>
        <w:ind w:left="360"/>
      </w:pPr>
      <w:r>
        <w:t xml:space="preserve">Quantitative survey responses indicate that the course did a fairly good job at facilitating learning about climate change in the </w:t>
      </w:r>
      <w:r w:rsidR="00A60136">
        <w:t>S</w:t>
      </w:r>
      <w:r>
        <w:t xml:space="preserve">outheast and climate change mitigation and adaptation in southern pine forests. Respondents also indicated that the course did a fairly good job at instilling a better understanding of integration among </w:t>
      </w:r>
      <w:r w:rsidR="00A60136">
        <w:t xml:space="preserve">the </w:t>
      </w:r>
      <w:r>
        <w:t>PINEMAP Aims. Students indicated that the course aided them in better understanding PINEMAP objectives and strategies</w:t>
      </w:r>
      <w:r w:rsidR="00A60136">
        <w:t>,</w:t>
      </w:r>
      <w:r>
        <w:t xml:space="preserve"> and the majority of students felt that the course content was well organized. In addition, respondents indicated that the assignments were effective mechanisms for learning about Aim research goals </w:t>
      </w:r>
      <w:r w:rsidR="00A60136">
        <w:t xml:space="preserve">and </w:t>
      </w:r>
      <w:r>
        <w:t xml:space="preserve">about Extension product development. </w:t>
      </w:r>
    </w:p>
    <w:p w:rsidR="00A77214" w:rsidRDefault="00A77214" w:rsidP="00600043">
      <w:pPr>
        <w:ind w:left="360"/>
      </w:pPr>
    </w:p>
    <w:p w:rsidR="00A77214" w:rsidRDefault="00A77214" w:rsidP="00600043">
      <w:pPr>
        <w:ind w:left="360"/>
      </w:pPr>
      <w:r>
        <w:t xml:space="preserve">Qualitative responses gathered from the survey and the annual meeting activity indicate that students enjoyed interacting, collaborating, communicating with, and getting to know other graduate students and found that the course provided a great deal of useful information. Students thoroughly enjoyed the presentations, </w:t>
      </w:r>
      <w:r w:rsidR="00A60136">
        <w:t xml:space="preserve">and </w:t>
      </w:r>
      <w:r>
        <w:t xml:space="preserve">felt that they were very informative and that the speakers were very knowledgeable. The course could do better at promoting discussion both online prior to the webinars and also during live webinars. </w:t>
      </w:r>
    </w:p>
    <w:p w:rsidR="00A77214" w:rsidRDefault="00A77214" w:rsidP="00600043">
      <w:pPr>
        <w:ind w:left="360"/>
      </w:pPr>
      <w:r>
        <w:br/>
        <w:t xml:space="preserve">Students </w:t>
      </w:r>
      <w:r w:rsidR="008A77C9">
        <w:t xml:space="preserve">also </w:t>
      </w:r>
      <w:r>
        <w:t xml:space="preserve">indicated that the workload may have been too much for a 2-credit course and that </w:t>
      </w:r>
      <w:r w:rsidR="008A77C9">
        <w:t>some</w:t>
      </w:r>
      <w:r>
        <w:t xml:space="preserve"> readings</w:t>
      </w:r>
      <w:r w:rsidR="008A77C9">
        <w:t xml:space="preserve"> could be designated as supplemental. </w:t>
      </w:r>
      <w:r>
        <w:t xml:space="preserve">Students and faculty indicated that there needs to be more uniformity in grading—all students should </w:t>
      </w:r>
      <w:r w:rsidR="00600043">
        <w:t>receive</w:t>
      </w:r>
      <w:r>
        <w:t xml:space="preserve"> a letter grade and there should be a standardized system for assigning grades. Students thought the assignments were useful, but also consistently noted that distance group work </w:t>
      </w:r>
      <w:r>
        <w:lastRenderedPageBreak/>
        <w:t>is difficult and tedious; students also indicated that more detail and direction for assignment 2 would be helpful and make the assignment more useful.</w:t>
      </w:r>
    </w:p>
    <w:p w:rsidR="00A77214" w:rsidRDefault="00A77214" w:rsidP="00600043">
      <w:pPr>
        <w:ind w:left="360"/>
      </w:pPr>
      <w:r>
        <w:t xml:space="preserve"> </w:t>
      </w:r>
    </w:p>
    <w:p w:rsidR="00A77214" w:rsidRDefault="00A77214" w:rsidP="00600043">
      <w:pPr>
        <w:ind w:left="360"/>
      </w:pPr>
      <w:r>
        <w:t>Students and faculty alike overwhelmingly agree that the course should be conducted in subsequent years of the project. We will utilize the evaluation results to guide revisions to the course structure and format</w:t>
      </w:r>
      <w:r w:rsidR="008A77C9">
        <w:t xml:space="preserve"> for a two-credit graded course; </w:t>
      </w:r>
      <w:r>
        <w:t>revise assignments to provide better detail and instructions, as well as more opportunity for feedback</w:t>
      </w:r>
      <w:r w:rsidR="008A77C9">
        <w:t>;</w:t>
      </w:r>
      <w:r>
        <w:t xml:space="preserve"> and </w:t>
      </w:r>
      <w:r w:rsidR="008A77C9">
        <w:t>review assigned readings</w:t>
      </w:r>
      <w:r>
        <w:t xml:space="preserve">. In addition, we will work closely with course instructors to clearly explain their role in and responsibilities with the course. We will ask instructors to be engaged in online discussion during their topic week and to develop specific points/questions to guide student discussion and input. </w:t>
      </w:r>
    </w:p>
    <w:p w:rsidR="004C1750" w:rsidRDefault="004C1750" w:rsidP="00600043">
      <w:pPr>
        <w:ind w:left="360"/>
      </w:pPr>
    </w:p>
    <w:p w:rsidR="004C1750" w:rsidRPr="00962902" w:rsidRDefault="00962902" w:rsidP="00600043">
      <w:pPr>
        <w:ind w:left="360"/>
        <w:rPr>
          <w:b/>
        </w:rPr>
      </w:pPr>
      <w:r>
        <w:rPr>
          <w:b/>
        </w:rPr>
        <w:t xml:space="preserve">PLT </w:t>
      </w:r>
      <w:r w:rsidR="00F53416" w:rsidRPr="00F53416">
        <w:rPr>
          <w:b/>
        </w:rPr>
        <w:t xml:space="preserve">Activities with the Center for </w:t>
      </w:r>
      <w:proofErr w:type="spellStart"/>
      <w:r w:rsidR="00F53416" w:rsidRPr="00F53416">
        <w:rPr>
          <w:b/>
        </w:rPr>
        <w:t>Precollegiate</w:t>
      </w:r>
      <w:proofErr w:type="spellEnd"/>
      <w:r w:rsidR="00F53416" w:rsidRPr="00F53416">
        <w:rPr>
          <w:b/>
        </w:rPr>
        <w:t xml:space="preserve"> Education and Training, University of Florida</w:t>
      </w:r>
    </w:p>
    <w:p w:rsidR="004C1750" w:rsidRDefault="004C1750" w:rsidP="00600043">
      <w:pPr>
        <w:pStyle w:val="ListParagraph"/>
        <w:numPr>
          <w:ilvl w:val="0"/>
          <w:numId w:val="14"/>
        </w:numPr>
      </w:pPr>
      <w:r>
        <w:t xml:space="preserve">We conducted a half-day program with 48 high school students in two Science Quest programs, a week-long residential </w:t>
      </w:r>
      <w:r w:rsidR="00962902">
        <w:t xml:space="preserve">science camp </w:t>
      </w:r>
      <w:r>
        <w:t xml:space="preserve">program at UF. Students explored the carbon cycle and measured carbon stored in trees at the Austin Cary Memorial Forest. </w:t>
      </w:r>
      <w:r w:rsidR="00962902">
        <w:t xml:space="preserve">This activity enabled us to pilot test two PLT activities. </w:t>
      </w:r>
      <w:r>
        <w:t>(July 11 and July 18, 2012)</w:t>
      </w:r>
    </w:p>
    <w:p w:rsidR="004C1750" w:rsidRDefault="004C1750" w:rsidP="00600043">
      <w:pPr>
        <w:pStyle w:val="ListParagraph"/>
        <w:numPr>
          <w:ilvl w:val="0"/>
          <w:numId w:val="14"/>
        </w:numPr>
      </w:pPr>
      <w:r>
        <w:t>We worked with 90 high school students to provide basic information about climate change and to help them understand why people have different perceptions on the issue in two sessions, July 16 and 20.</w:t>
      </w:r>
      <w:r w:rsidR="00962902">
        <w:t xml:space="preserve"> This enabled us to pilot test one PLT activity. </w:t>
      </w:r>
    </w:p>
    <w:p w:rsidR="004C1750" w:rsidRDefault="004C1750" w:rsidP="00A77214"/>
    <w:p w:rsidR="00FB37F7" w:rsidRDefault="00DC4B0B" w:rsidP="003D1EFD">
      <w:pPr>
        <w:pStyle w:val="ListParagraph"/>
        <w:numPr>
          <w:ilvl w:val="0"/>
          <w:numId w:val="2"/>
        </w:numPr>
        <w:shd w:val="clear" w:color="auto" w:fill="D9D9D9" w:themeFill="background1" w:themeFillShade="D9"/>
        <w:ind w:left="720"/>
      </w:pPr>
      <w:r>
        <w:t xml:space="preserve">Provide a short narrative </w:t>
      </w:r>
      <w:r w:rsidR="007D3D87">
        <w:t>d</w:t>
      </w:r>
      <w:r w:rsidR="00AF14B9">
        <w:t>escrib</w:t>
      </w:r>
      <w:r>
        <w:t>ing</w:t>
      </w:r>
      <w:r w:rsidR="00AF14B9">
        <w:t xml:space="preserve"> experiments </w:t>
      </w:r>
      <w:r w:rsidR="007D3D87">
        <w:t>or</w:t>
      </w:r>
      <w:r w:rsidR="00AF14B9">
        <w:t xml:space="preserve"> surveys conducted and</w:t>
      </w:r>
      <w:r w:rsidR="00816CAF">
        <w:t>/or</w:t>
      </w:r>
      <w:r w:rsidR="00AF14B9">
        <w:t xml:space="preserve"> analyzed.</w:t>
      </w:r>
    </w:p>
    <w:p w:rsidR="00600043" w:rsidRDefault="00600043" w:rsidP="00600043">
      <w:pPr>
        <w:rPr>
          <w:b/>
        </w:rPr>
      </w:pPr>
    </w:p>
    <w:p w:rsidR="00DD6436" w:rsidRDefault="00F53416" w:rsidP="00600043">
      <w:pPr>
        <w:ind w:left="360"/>
        <w:rPr>
          <w:b/>
        </w:rPr>
      </w:pPr>
      <w:r w:rsidRPr="00F53416">
        <w:rPr>
          <w:b/>
        </w:rPr>
        <w:t>Internship Survey</w:t>
      </w:r>
    </w:p>
    <w:p w:rsidR="00DD6436" w:rsidRDefault="00197BFE" w:rsidP="00600043">
      <w:pPr>
        <w:ind w:left="360"/>
      </w:pPr>
      <w:r w:rsidRPr="005E09C1">
        <w:t xml:space="preserve">John Kidd and John Seiler leveraged the opportunity to survey </w:t>
      </w:r>
      <w:r w:rsidRPr="008F47AF">
        <w:t xml:space="preserve">undergraduate interns to examine </w:t>
      </w:r>
      <w:r w:rsidR="009A7CBE" w:rsidRPr="00FB5829">
        <w:t xml:space="preserve">intern </w:t>
      </w:r>
      <w:r w:rsidRPr="005E09C1">
        <w:t>a</w:t>
      </w:r>
      <w:r w:rsidRPr="008F47AF">
        <w:t>ttitudes toward research</w:t>
      </w:r>
      <w:r w:rsidR="00D96E0B" w:rsidRPr="008F47AF">
        <w:t xml:space="preserve"> before and after a 12 week internship in PINEMAP-related research</w:t>
      </w:r>
      <w:r w:rsidRPr="00FB5829">
        <w:t xml:space="preserve">.  Interns were asked to complete a pre-internship survey on their attitudes toward research.  </w:t>
      </w:r>
      <w:r w:rsidR="00D96E0B" w:rsidRPr="005E09C1">
        <w:t>Pre-internship</w:t>
      </w:r>
      <w:r w:rsidRPr="005E09C1">
        <w:t xml:space="preserve"> results will be compared with those from a post-internship survey as an attempt to detect changes in attitudes.</w:t>
      </w:r>
      <w:r w:rsidR="001C41BF" w:rsidRPr="005E09C1">
        <w:t xml:space="preserve">  This study will be conducted over the length of the Undergraduate Internship Program, and has a </w:t>
      </w:r>
      <w:r w:rsidR="001143CE">
        <w:t xml:space="preserve">potential </w:t>
      </w:r>
      <w:r w:rsidR="006D17D4" w:rsidRPr="00FB5829">
        <w:t>maximum sample size</w:t>
      </w:r>
      <w:r w:rsidR="001C41BF" w:rsidRPr="005E09C1">
        <w:t xml:space="preserve"> of 50 </w:t>
      </w:r>
      <w:r w:rsidR="006D17D4" w:rsidRPr="00FB5829">
        <w:t>interns</w:t>
      </w:r>
      <w:r w:rsidR="001C41BF" w:rsidRPr="005E09C1">
        <w:t>.</w:t>
      </w:r>
    </w:p>
    <w:p w:rsidR="00DD6436" w:rsidRDefault="00DD6436" w:rsidP="00600043">
      <w:pPr>
        <w:ind w:left="360"/>
      </w:pPr>
    </w:p>
    <w:p w:rsidR="00600043" w:rsidRPr="00600043" w:rsidRDefault="00600043" w:rsidP="00600043">
      <w:pPr>
        <w:ind w:left="360"/>
        <w:rPr>
          <w:rFonts w:cstheme="minorHAnsi"/>
          <w:b/>
        </w:rPr>
      </w:pPr>
      <w:r w:rsidRPr="00600043">
        <w:rPr>
          <w:rFonts w:cstheme="minorHAnsi"/>
          <w:b/>
        </w:rPr>
        <w:t>High School Educators: Forest Management Survey</w:t>
      </w:r>
    </w:p>
    <w:p w:rsidR="00DD6436" w:rsidRDefault="00B3562C" w:rsidP="00600043">
      <w:pPr>
        <w:ind w:left="360"/>
        <w:rPr>
          <w:rFonts w:cstheme="minorHAnsi"/>
        </w:rPr>
      </w:pPr>
      <w:r w:rsidRPr="00627BCA">
        <w:rPr>
          <w:rFonts w:cstheme="minorHAnsi"/>
        </w:rPr>
        <w:t xml:space="preserve">A web-based survey of high school science teachers in the </w:t>
      </w:r>
      <w:r w:rsidR="00F53416" w:rsidRPr="00F53416">
        <w:rPr>
          <w:rFonts w:cstheme="minorHAnsi"/>
        </w:rPr>
        <w:t xml:space="preserve">5 state southern Piedmont region of the United States was conducted to study their knowledge, attitudes and teaching practices with regard to forest management.  A total of 1024 surveys were successfully delivered with 324 returned for an adjusted response rate of 32%.  Results indicate that most teachers (82%) agree forestry should be taught in high schools and most frequently present forestry concepts in the context of ecosystem services, followed by concepts related to physical and physiological characteristics of trees.  Concepts related to products, uses, and management </w:t>
      </w:r>
      <w:proofErr w:type="gramStart"/>
      <w:r w:rsidR="00F53416" w:rsidRPr="00F53416">
        <w:rPr>
          <w:rFonts w:cstheme="minorHAnsi"/>
        </w:rPr>
        <w:t>are</w:t>
      </w:r>
      <w:proofErr w:type="gramEnd"/>
      <w:r w:rsidR="00F53416" w:rsidRPr="00F53416">
        <w:rPr>
          <w:rFonts w:cstheme="minorHAnsi"/>
        </w:rPr>
        <w:t xml:space="preserve"> taught least frequently.  Variables that predict teaching frequencies for each of these three concept groups include classes taught in the last five years, environmental education program training, and childhood location in addition to attitudes toward and knowledge of forest management. Also, it was found that over half </w:t>
      </w:r>
      <w:r w:rsidR="00F53416" w:rsidRPr="00F53416">
        <w:rPr>
          <w:rFonts w:cstheme="minorHAnsi"/>
        </w:rPr>
        <w:lastRenderedPageBreak/>
        <w:t xml:space="preserve">(57%) of the teachers surveyed  do not take field trips to forests and less than 25%  do so multiple times per year.  Variables that predict whether or not teachers take forest field trips include confidence to teach forestry concepts, involvement in school natural resources related extra-curricular activities such as 4-H and </w:t>
      </w:r>
      <w:proofErr w:type="spellStart"/>
      <w:r w:rsidR="00F53416" w:rsidRPr="00F53416">
        <w:rPr>
          <w:rFonts w:cstheme="minorHAnsi"/>
        </w:rPr>
        <w:t>Envirothon</w:t>
      </w:r>
      <w:proofErr w:type="spellEnd"/>
      <w:r w:rsidR="00F53416" w:rsidRPr="00F53416">
        <w:rPr>
          <w:rFonts w:cstheme="minorHAnsi"/>
        </w:rPr>
        <w:t xml:space="preserve">, and the presence of a forest within walking distance of the school.  The most widely reported constraints to teaching forestry concepts and taking field trips to forests are mandated standards or curriculum (60%), money (40%), time (32%), mandated testing (19%), and training, interest, and infrastructure (19%).  </w:t>
      </w:r>
    </w:p>
    <w:p w:rsidR="00B3562C" w:rsidRDefault="00B3562C" w:rsidP="00600043">
      <w:pPr>
        <w:pStyle w:val="ListParagraph"/>
        <w:ind w:left="360"/>
        <w:rPr>
          <w:rFonts w:ascii="Times New Roman" w:hAnsi="Times New Roman"/>
          <w:b/>
        </w:rPr>
      </w:pPr>
    </w:p>
    <w:p w:rsidR="00600043" w:rsidRPr="00600043" w:rsidRDefault="00600043" w:rsidP="00600043">
      <w:pPr>
        <w:ind w:left="360"/>
        <w:rPr>
          <w:b/>
        </w:rPr>
      </w:pPr>
      <w:r w:rsidRPr="00600043">
        <w:rPr>
          <w:b/>
        </w:rPr>
        <w:t>Educator Needs Assessment</w:t>
      </w:r>
    </w:p>
    <w:p w:rsidR="008A77C9" w:rsidRDefault="007C54CB" w:rsidP="00600043">
      <w:pPr>
        <w:ind w:left="360"/>
      </w:pPr>
      <w:r>
        <w:t>A needs assessment survey was distributed throughout the region</w:t>
      </w:r>
      <w:r w:rsidR="008A77C9">
        <w:t xml:space="preserve"> in May 2012</w:t>
      </w:r>
      <w:r>
        <w:t xml:space="preserve"> </w:t>
      </w:r>
      <w:r w:rsidR="008A77C9">
        <w:t>to enable</w:t>
      </w:r>
      <w:r>
        <w:t xml:space="preserve"> secondary science teachers to provide input to the PLT module.  </w:t>
      </w:r>
      <w:r w:rsidR="00962536">
        <w:t xml:space="preserve">Because we asked people to forward the survey link to their lists, it is not possible to report on non-response bias. </w:t>
      </w:r>
      <w:r w:rsidR="008A77C9">
        <w:t>A total of 732 surveys were received; 660 of those were completed. Most respondents teach 11</w:t>
      </w:r>
      <w:r w:rsidR="008A77C9" w:rsidRPr="0078367A">
        <w:rPr>
          <w:vertAlign w:val="superscript"/>
        </w:rPr>
        <w:t>th</w:t>
      </w:r>
      <w:r w:rsidR="008A77C9">
        <w:t xml:space="preserve"> and 12</w:t>
      </w:r>
      <w:r w:rsidR="008A77C9" w:rsidRPr="0078367A">
        <w:rPr>
          <w:vertAlign w:val="superscript"/>
        </w:rPr>
        <w:t>th</w:t>
      </w:r>
      <w:r w:rsidR="008A77C9">
        <w:t xml:space="preserve"> grades (61% each); 57% teach 10</w:t>
      </w:r>
      <w:r w:rsidR="008A77C9" w:rsidRPr="0078367A">
        <w:rPr>
          <w:vertAlign w:val="superscript"/>
        </w:rPr>
        <w:t>th</w:t>
      </w:r>
      <w:r w:rsidR="008A77C9">
        <w:t xml:space="preserve"> graders and 48% teach 9</w:t>
      </w:r>
      <w:r w:rsidR="008A77C9" w:rsidRPr="0078367A">
        <w:rPr>
          <w:vertAlign w:val="superscript"/>
        </w:rPr>
        <w:t>th</w:t>
      </w:r>
      <w:r w:rsidR="008A77C9">
        <w:t xml:space="preserve"> graders. We heard from fewer middle school teachers; 16%, 21%, and 21% teach 6</w:t>
      </w:r>
      <w:r w:rsidR="008A77C9" w:rsidRPr="0078367A">
        <w:rPr>
          <w:vertAlign w:val="superscript"/>
        </w:rPr>
        <w:t>th</w:t>
      </w:r>
      <w:r w:rsidR="008A77C9">
        <w:t>, 7</w:t>
      </w:r>
      <w:r w:rsidR="008A77C9" w:rsidRPr="0078367A">
        <w:rPr>
          <w:vertAlign w:val="superscript"/>
        </w:rPr>
        <w:t>th</w:t>
      </w:r>
      <w:r w:rsidR="008A77C9">
        <w:t>, or 8</w:t>
      </w:r>
      <w:r w:rsidR="008A77C9" w:rsidRPr="0078367A">
        <w:rPr>
          <w:vertAlign w:val="superscript"/>
        </w:rPr>
        <w:t>th</w:t>
      </w:r>
      <w:r w:rsidR="008A77C9">
        <w:t xml:space="preserve"> grades, respectively.</w:t>
      </w:r>
    </w:p>
    <w:p w:rsidR="008A77C9" w:rsidRDefault="008A77C9" w:rsidP="00600043">
      <w:pPr>
        <w:ind w:left="360"/>
      </w:pPr>
    </w:p>
    <w:p w:rsidR="008A77C9" w:rsidRDefault="008A77C9" w:rsidP="00600043">
      <w:pPr>
        <w:ind w:left="360"/>
      </w:pPr>
      <w:r>
        <w:t xml:space="preserve">Most </w:t>
      </w:r>
      <w:r w:rsidR="00962536">
        <w:t>respondents</w:t>
      </w:r>
      <w:r>
        <w:t xml:space="preserve"> (77%) already cover climate change in their secondary science courses. </w:t>
      </w:r>
      <w:proofErr w:type="gramStart"/>
      <w:r>
        <w:t>Teachers report being most likely to teach about climate change in environmental science, earth science, biology, environmental studies, or agriculture courses.</w:t>
      </w:r>
      <w:proofErr w:type="gramEnd"/>
      <w:r>
        <w:t xml:space="preserve"> In agriculture, chemistry, and physical science courses the largest percentage of respondents do so with informal discussions. Planned lessons lasting one week or less are used by the largest percentage of respondents teaching biology, AP biology, earth science, integrated science, and marine science. Teachers use planned lessons lasting more than a week in ecology, environmental issues, environmental science, and AP environmental science classes.  A large majority (82%) of the respondents are interested in continuing to cover climate change</w:t>
      </w:r>
      <w:r w:rsidR="001C66B5">
        <w:t xml:space="preserve"> in future courses</w:t>
      </w:r>
      <w:r>
        <w:t>.</w:t>
      </w:r>
    </w:p>
    <w:p w:rsidR="008A77C9" w:rsidRDefault="008A77C9" w:rsidP="00600043">
      <w:pPr>
        <w:ind w:left="360"/>
      </w:pPr>
    </w:p>
    <w:p w:rsidR="008A77C9" w:rsidRDefault="008A77C9" w:rsidP="00600043">
      <w:pPr>
        <w:ind w:left="360"/>
      </w:pPr>
      <w:r>
        <w:t>Many teachers</w:t>
      </w:r>
      <w:r w:rsidR="001C66B5">
        <w:t xml:space="preserve"> believe they</w:t>
      </w:r>
      <w:r>
        <w:t xml:space="preserve"> have a moderate understanding of the issue (46%); 24% have a detailed understanding and 28% have a basic understanding. </w:t>
      </w:r>
      <w:r w:rsidR="00962536">
        <w:t xml:space="preserve">Because </w:t>
      </w:r>
      <w:r>
        <w:t xml:space="preserve">some students and parents may disagree with climate change science, </w:t>
      </w:r>
      <w:r w:rsidR="00962536">
        <w:t xml:space="preserve">only </w:t>
      </w:r>
      <w:r>
        <w:t>37% of the respondents are very comfortable teaching about climate change; 35% are somewhat comfortable, and 15% are neutral.</w:t>
      </w:r>
    </w:p>
    <w:p w:rsidR="008A77C9" w:rsidRDefault="008A77C9" w:rsidP="00600043">
      <w:pPr>
        <w:ind w:left="360"/>
      </w:pPr>
    </w:p>
    <w:p w:rsidR="008A77C9" w:rsidRDefault="00962536" w:rsidP="00600043">
      <w:pPr>
        <w:ind w:left="360"/>
      </w:pPr>
      <w:r>
        <w:t xml:space="preserve">Most respondents </w:t>
      </w:r>
      <w:r w:rsidR="00DA021D">
        <w:t xml:space="preserve">thought </w:t>
      </w:r>
      <w:r w:rsidR="00AA05CD">
        <w:t>the</w:t>
      </w:r>
      <w:r w:rsidR="00DA021D">
        <w:t xml:space="preserve"> variety of </w:t>
      </w:r>
      <w:r w:rsidR="008A77C9">
        <w:t>teaching strateg</w:t>
      </w:r>
      <w:r w:rsidR="00DA021D">
        <w:t xml:space="preserve">ies </w:t>
      </w:r>
      <w:r>
        <w:t>listed on the survey</w:t>
      </w:r>
      <w:r w:rsidR="00DA021D">
        <w:t xml:space="preserve"> were appropriate to use for teaching about climate change</w:t>
      </w:r>
      <w:r w:rsidR="008A77C9">
        <w:t xml:space="preserve">. The widest diversity of respondents thought presenting all perspectives as valid, even though most scientist disagree to be the most inappropriate option (36% very inappropriate and inappropriate; 41% appropriate and very appropriate). Over 85% of the respondents believe it is appropriate or very appropriate to: explain scientific uncertainty, present the rationale for how people interpret climate change differently; discuss advantages and disadvantages of climate related policies, and discuss the history of climate change science. Just over 50% of the respondents are most interested in covering climate change impacts related to their local area (50.5%), their state </w:t>
      </w:r>
      <w:r w:rsidR="008A77C9">
        <w:lastRenderedPageBreak/>
        <w:t>(54%), and the nation (50%). Most, however, would like to cover climate change as it relates to the world (81%).</w:t>
      </w:r>
    </w:p>
    <w:p w:rsidR="008A77C9" w:rsidRDefault="008A77C9" w:rsidP="00600043">
      <w:pPr>
        <w:ind w:left="360"/>
      </w:pPr>
    </w:p>
    <w:p w:rsidR="008A77C9" w:rsidRDefault="008A77C9" w:rsidP="00600043">
      <w:pPr>
        <w:ind w:left="360"/>
      </w:pPr>
      <w:r>
        <w:t>The majority of respondents (57%) prefer to incorporate a secondary module through lessons that can be inserted into several units throughout their course.  Only 8% would use it as a unit lasting more than two weeks, but 30% would teach the module as a unit lasting one week or less, and 34% in a unit lasting from one to two weeks.</w:t>
      </w:r>
    </w:p>
    <w:p w:rsidR="008A77C9" w:rsidRDefault="008A77C9" w:rsidP="00600043">
      <w:pPr>
        <w:ind w:left="360"/>
      </w:pPr>
    </w:p>
    <w:p w:rsidR="008A77C9" w:rsidRDefault="008A77C9" w:rsidP="00600043">
      <w:pPr>
        <w:ind w:left="360"/>
      </w:pPr>
      <w:r>
        <w:t>All of the supplemental resources will be very useful to the largest percentage of respondents with hands-on student activities (80%) and lab exercises (76%) collecting the most votes. Background information, data sets to analyze, short videos of scientists, and photographs were also very useful.</w:t>
      </w:r>
    </w:p>
    <w:p w:rsidR="008A77C9" w:rsidRDefault="008A77C9" w:rsidP="008A77C9"/>
    <w:p w:rsidR="008A77C9" w:rsidRDefault="008A77C9" w:rsidP="00AA05CD">
      <w:pPr>
        <w:ind w:left="360"/>
      </w:pPr>
      <w:r>
        <w:t>It is very important to the largest percentage of respondents for the module to help them meet the following goals:</w:t>
      </w:r>
    </w:p>
    <w:p w:rsidR="008A77C9" w:rsidRDefault="008A77C9" w:rsidP="008A77C9">
      <w:pPr>
        <w:tabs>
          <w:tab w:val="left" w:pos="720"/>
        </w:tabs>
      </w:pPr>
      <w:r>
        <w:tab/>
        <w:t>Connecting science to students’ everyday lives</w:t>
      </w:r>
      <w:r>
        <w:tab/>
        <w:t>80%</w:t>
      </w:r>
    </w:p>
    <w:p w:rsidR="008A77C9" w:rsidRDefault="008A77C9" w:rsidP="008A77C9">
      <w:pPr>
        <w:tabs>
          <w:tab w:val="left" w:pos="720"/>
        </w:tabs>
      </w:pPr>
      <w:r>
        <w:tab/>
        <w:t>Emphasizing critical thinking</w:t>
      </w:r>
      <w:r>
        <w:tab/>
      </w:r>
      <w:r>
        <w:tab/>
      </w:r>
      <w:r>
        <w:tab/>
      </w:r>
      <w:r>
        <w:tab/>
        <w:t>79%</w:t>
      </w:r>
    </w:p>
    <w:p w:rsidR="008A77C9" w:rsidRDefault="008A77C9" w:rsidP="008A77C9">
      <w:pPr>
        <w:tabs>
          <w:tab w:val="left" w:pos="720"/>
        </w:tabs>
      </w:pPr>
      <w:r>
        <w:tab/>
        <w:t>Developing data analysis skills</w:t>
      </w:r>
      <w:r>
        <w:tab/>
      </w:r>
      <w:r>
        <w:tab/>
      </w:r>
      <w:r>
        <w:tab/>
        <w:t>65%</w:t>
      </w:r>
    </w:p>
    <w:p w:rsidR="008A77C9" w:rsidRDefault="008A77C9" w:rsidP="008A77C9">
      <w:pPr>
        <w:tabs>
          <w:tab w:val="left" w:pos="720"/>
        </w:tabs>
      </w:pPr>
      <w:r>
        <w:tab/>
        <w:t>Emphasizing choices that affect sustainability</w:t>
      </w:r>
      <w:r>
        <w:tab/>
        <w:t>55%</w:t>
      </w:r>
    </w:p>
    <w:p w:rsidR="008A77C9" w:rsidRDefault="008A77C9" w:rsidP="008A77C9">
      <w:pPr>
        <w:tabs>
          <w:tab w:val="left" w:pos="720"/>
        </w:tabs>
      </w:pPr>
      <w:r>
        <w:tab/>
        <w:t>Emphasizing systems thinking</w:t>
      </w:r>
      <w:r>
        <w:tab/>
      </w:r>
      <w:r>
        <w:tab/>
      </w:r>
      <w:r>
        <w:tab/>
        <w:t>53%</w:t>
      </w:r>
    </w:p>
    <w:p w:rsidR="008A77C9" w:rsidRDefault="008A77C9" w:rsidP="008A77C9">
      <w:pPr>
        <w:tabs>
          <w:tab w:val="left" w:pos="720"/>
        </w:tabs>
      </w:pPr>
      <w:r>
        <w:tab/>
        <w:t>Enabling students to use technology</w:t>
      </w:r>
      <w:r>
        <w:tab/>
      </w:r>
      <w:r>
        <w:tab/>
      </w:r>
      <w:r>
        <w:tab/>
        <w:t>46%</w:t>
      </w:r>
    </w:p>
    <w:p w:rsidR="008A77C9" w:rsidRDefault="008A77C9" w:rsidP="008A77C9">
      <w:pPr>
        <w:tabs>
          <w:tab w:val="left" w:pos="720"/>
        </w:tabs>
      </w:pPr>
    </w:p>
    <w:p w:rsidR="008A77C9" w:rsidRDefault="008A77C9" w:rsidP="00AA05CD">
      <w:pPr>
        <w:ind w:left="360"/>
      </w:pPr>
      <w:r>
        <w:t>It is fairly important to the largest percentage of respondents for the module to help them meet the following goals:</w:t>
      </w:r>
    </w:p>
    <w:p w:rsidR="008A77C9" w:rsidRDefault="008A77C9" w:rsidP="008A77C9">
      <w:pPr>
        <w:ind w:left="720"/>
      </w:pPr>
      <w:r>
        <w:t>Connecting science issues with policy</w:t>
      </w:r>
      <w:r>
        <w:tab/>
      </w:r>
      <w:r>
        <w:tab/>
        <w:t>46%</w:t>
      </w:r>
    </w:p>
    <w:p w:rsidR="008A77C9" w:rsidRDefault="008A77C9" w:rsidP="008A77C9">
      <w:pPr>
        <w:ind w:left="720"/>
      </w:pPr>
      <w:r>
        <w:t>Building skills for working in groups</w:t>
      </w:r>
      <w:r>
        <w:tab/>
      </w:r>
      <w:r>
        <w:tab/>
      </w:r>
      <w:r>
        <w:tab/>
        <w:t>43%</w:t>
      </w:r>
    </w:p>
    <w:p w:rsidR="008A77C9" w:rsidRDefault="008A77C9" w:rsidP="008A77C9">
      <w:pPr>
        <w:ind w:left="720"/>
      </w:pPr>
      <w:r>
        <w:t>Exploring career options</w:t>
      </w:r>
      <w:r>
        <w:tab/>
      </w:r>
      <w:r>
        <w:tab/>
      </w:r>
      <w:r>
        <w:tab/>
      </w:r>
      <w:r>
        <w:tab/>
        <w:t>43%</w:t>
      </w:r>
    </w:p>
    <w:p w:rsidR="008A77C9" w:rsidRDefault="008A77C9" w:rsidP="008A77C9">
      <w:pPr>
        <w:ind w:left="720"/>
      </w:pPr>
      <w:r>
        <w:t>Implementing action projects</w:t>
      </w:r>
      <w:r>
        <w:tab/>
      </w:r>
      <w:r>
        <w:tab/>
      </w:r>
      <w:r>
        <w:tab/>
      </w:r>
      <w:r>
        <w:tab/>
        <w:t>42%</w:t>
      </w:r>
    </w:p>
    <w:p w:rsidR="008A77C9" w:rsidRDefault="008A77C9" w:rsidP="008A77C9">
      <w:pPr>
        <w:ind w:left="720"/>
      </w:pPr>
      <w:r>
        <w:t>Teaching about technology</w:t>
      </w:r>
      <w:r>
        <w:tab/>
      </w:r>
      <w:r>
        <w:tab/>
      </w:r>
      <w:r>
        <w:tab/>
      </w:r>
      <w:r>
        <w:tab/>
        <w:t>42%</w:t>
      </w:r>
    </w:p>
    <w:p w:rsidR="008A77C9" w:rsidRDefault="008A77C9" w:rsidP="008A77C9"/>
    <w:p w:rsidR="00DE109F" w:rsidRDefault="00DE109F" w:rsidP="00C84427">
      <w:pPr>
        <w:ind w:left="360"/>
        <w:rPr>
          <w:b/>
          <w:u w:val="single"/>
        </w:rPr>
      </w:pPr>
    </w:p>
    <w:p w:rsidR="00F57F5A" w:rsidRPr="00BE5266" w:rsidRDefault="00C74C95" w:rsidP="00F57F5A">
      <w:r>
        <w:rPr>
          <w:b/>
          <w:u w:val="single"/>
        </w:rPr>
        <w:t>Milestones</w:t>
      </w:r>
      <w:r w:rsidR="003D1EFD">
        <w:rPr>
          <w:b/>
          <w:u w:val="single"/>
        </w:rPr>
        <w:t xml:space="preserve"> and </w:t>
      </w:r>
      <w:r w:rsidR="00336DF3">
        <w:rPr>
          <w:b/>
          <w:u w:val="single"/>
        </w:rPr>
        <w:t>Work Plan Progress</w:t>
      </w:r>
    </w:p>
    <w:p w:rsidR="008F59BE" w:rsidRPr="00457CD9" w:rsidRDefault="008F59BE" w:rsidP="00F57F5A">
      <w:pPr>
        <w:rPr>
          <w:b/>
        </w:rPr>
      </w:pPr>
    </w:p>
    <w:p w:rsidR="00C332EF" w:rsidRDefault="000A506E" w:rsidP="000A506E">
      <w:pPr>
        <w:shd w:val="clear" w:color="auto" w:fill="D9D9D9" w:themeFill="background1" w:themeFillShade="D9"/>
      </w:pPr>
      <w:r w:rsidRPr="000A506E">
        <w:t>All year 2 milestones and work plan tasks have been listed below. Provide a short narrative describing progress on each; if work on milestone or task has not yet begun, leave blank.</w:t>
      </w:r>
    </w:p>
    <w:p w:rsidR="000A506E" w:rsidRDefault="000A506E" w:rsidP="00F57F5A"/>
    <w:p w:rsidR="00DE109F" w:rsidRPr="00DE109F" w:rsidRDefault="00DE109F" w:rsidP="00F57F5A">
      <w:pPr>
        <w:rPr>
          <w:b/>
        </w:rPr>
      </w:pPr>
      <w:r w:rsidRPr="00DE109F">
        <w:rPr>
          <w:b/>
        </w:rPr>
        <w:t>Milestones</w:t>
      </w:r>
    </w:p>
    <w:p w:rsidR="00DE109F" w:rsidRDefault="00DE109F" w:rsidP="00F57F5A"/>
    <w:p w:rsidR="00DE109F" w:rsidRDefault="00DE109F" w:rsidP="00DE109F">
      <w:pPr>
        <w:shd w:val="clear" w:color="auto" w:fill="D9D9D9" w:themeFill="background1" w:themeFillShade="D9"/>
      </w:pPr>
      <w:proofErr w:type="gramStart"/>
      <w:r w:rsidRPr="00DE109F">
        <w:t>Report of audience assessment for PLT module</w:t>
      </w:r>
      <w:r>
        <w:t>.</w:t>
      </w:r>
      <w:proofErr w:type="gramEnd"/>
    </w:p>
    <w:p w:rsidR="00DE109F" w:rsidRDefault="004C1750" w:rsidP="00F57F5A">
      <w:r>
        <w:t xml:space="preserve">We completed a survey of secondary science teachers in the </w:t>
      </w:r>
      <w:r w:rsidR="00AA05CD">
        <w:t>S</w:t>
      </w:r>
      <w:r>
        <w:t>outheast. The information gleaned is providing justifications for the Project Learning Tree/PINEMAP module and helping us prioritize activities and resources.</w:t>
      </w:r>
      <w:r w:rsidR="004C7E47">
        <w:t xml:space="preserve"> We are currently analyzing the data and wil</w:t>
      </w:r>
      <w:r w:rsidR="000A47AD">
        <w:t xml:space="preserve">l be writing a one page summary for a general audience, and a journal article based on results. </w:t>
      </w:r>
    </w:p>
    <w:p w:rsidR="00DE109F" w:rsidRDefault="00DE109F" w:rsidP="00F57F5A"/>
    <w:p w:rsidR="00DE109F" w:rsidRDefault="00DE109F" w:rsidP="00DE109F">
      <w:pPr>
        <w:shd w:val="clear" w:color="auto" w:fill="D9D9D9" w:themeFill="background1" w:themeFillShade="D9"/>
      </w:pPr>
      <w:proofErr w:type="gramStart"/>
      <w:r w:rsidRPr="00DE109F">
        <w:t>Report of teachers' attitudes concerning forest management</w:t>
      </w:r>
      <w:r>
        <w:t>.</w:t>
      </w:r>
      <w:proofErr w:type="gramEnd"/>
    </w:p>
    <w:p w:rsidR="00DE109F" w:rsidRDefault="00DE109F" w:rsidP="00F57F5A"/>
    <w:p w:rsidR="00AA05CD" w:rsidRDefault="00AA05CD" w:rsidP="00F57F5A"/>
    <w:p w:rsidR="00DE109F" w:rsidRDefault="00DE109F" w:rsidP="00DE109F">
      <w:pPr>
        <w:shd w:val="clear" w:color="auto" w:fill="D9D9D9" w:themeFill="background1" w:themeFillShade="D9"/>
      </w:pPr>
      <w:proofErr w:type="gramStart"/>
      <w:r w:rsidRPr="00DE109F">
        <w:t>Report of research on climate change education strategies</w:t>
      </w:r>
      <w:r>
        <w:t>.</w:t>
      </w:r>
      <w:proofErr w:type="gramEnd"/>
    </w:p>
    <w:p w:rsidR="00DE109F" w:rsidRDefault="00DE109F" w:rsidP="00F57F5A"/>
    <w:p w:rsidR="00AA05CD" w:rsidRDefault="00AA05CD" w:rsidP="00F57F5A"/>
    <w:p w:rsidR="00DE109F" w:rsidRDefault="00DE109F" w:rsidP="00DE109F">
      <w:pPr>
        <w:shd w:val="clear" w:color="auto" w:fill="D9D9D9" w:themeFill="background1" w:themeFillShade="D9"/>
      </w:pPr>
      <w:r w:rsidRPr="00DE109F">
        <w:t>Web-based course in multidisciplinary research for graduate students completed</w:t>
      </w:r>
      <w:r>
        <w:t>.</w:t>
      </w:r>
    </w:p>
    <w:p w:rsidR="00DE109F" w:rsidRDefault="004C1750" w:rsidP="00F57F5A">
      <w:r>
        <w:t>The first offering of the PINEMAP graduate student course occurred spring term 2012 at 8 universities for 22 students.</w:t>
      </w:r>
    </w:p>
    <w:p w:rsidR="00F11867" w:rsidRDefault="00F11867" w:rsidP="00F57F5A"/>
    <w:p w:rsidR="00F11867" w:rsidRDefault="00F11867" w:rsidP="00F11867">
      <w:pPr>
        <w:shd w:val="clear" w:color="auto" w:fill="D9D9D9" w:themeFill="background1" w:themeFillShade="D9"/>
      </w:pPr>
      <w:r w:rsidRPr="00F11867">
        <w:t>Undergraduate research internships completed</w:t>
      </w:r>
      <w:r>
        <w:t>.</w:t>
      </w:r>
    </w:p>
    <w:p w:rsidR="00F11867" w:rsidRDefault="0064493B" w:rsidP="00F57F5A">
      <w:r>
        <w:t xml:space="preserve">Interns relocated to their mentors’ host universities in mid- </w:t>
      </w:r>
      <w:r w:rsidR="00FF6E45">
        <w:t>to</w:t>
      </w:r>
      <w:r>
        <w:t xml:space="preserve"> late-May.  Interns will remain at host universities through the 12 week internships.  </w:t>
      </w:r>
      <w:r w:rsidR="00B368C0">
        <w:t>After internships conclude</w:t>
      </w:r>
      <w:r>
        <w:t xml:space="preserve"> in early August, students will return to their home universities to participate in the fall teaching and communication distance course.</w:t>
      </w:r>
    </w:p>
    <w:p w:rsidR="00F11867" w:rsidRPr="00F11867" w:rsidRDefault="00F11867" w:rsidP="00F57F5A"/>
    <w:p w:rsidR="00F11867" w:rsidRPr="00F11867" w:rsidRDefault="00F11867" w:rsidP="00F11867">
      <w:pPr>
        <w:shd w:val="clear" w:color="auto" w:fill="D9D9D9" w:themeFill="background1" w:themeFillShade="D9"/>
      </w:pPr>
      <w:r w:rsidRPr="00F11867">
        <w:t>Undergraduate teaching and communication distance course completed</w:t>
      </w:r>
    </w:p>
    <w:p w:rsidR="00F11867" w:rsidRPr="00F11867" w:rsidRDefault="00F11867" w:rsidP="00F57F5A"/>
    <w:p w:rsidR="00F11867" w:rsidRDefault="00F11867" w:rsidP="00F57F5A"/>
    <w:p w:rsidR="00DE109F" w:rsidRDefault="00DE109F" w:rsidP="00F57F5A">
      <w:pPr>
        <w:rPr>
          <w:b/>
        </w:rPr>
      </w:pPr>
      <w:r w:rsidRPr="00DE109F">
        <w:rPr>
          <w:b/>
        </w:rPr>
        <w:t>Work Plan Tasks</w:t>
      </w:r>
      <w:r>
        <w:rPr>
          <w:b/>
        </w:rPr>
        <w:t xml:space="preserve"> </w:t>
      </w:r>
    </w:p>
    <w:p w:rsidR="00DE109F" w:rsidRPr="00DE109F" w:rsidRDefault="00C84427" w:rsidP="00F57F5A">
      <w:r>
        <w:rPr>
          <w:i/>
        </w:rPr>
        <w:t>N</w:t>
      </w:r>
      <w:r w:rsidR="00DE109F" w:rsidRPr="00DE109F">
        <w:rPr>
          <w:i/>
        </w:rPr>
        <w:t xml:space="preserve">ote: All work plan tasks </w:t>
      </w:r>
      <w:r w:rsidR="00F11867">
        <w:rPr>
          <w:i/>
        </w:rPr>
        <w:t xml:space="preserve">for Jan.-Nov. 2012 </w:t>
      </w:r>
      <w:r w:rsidR="00DE109F" w:rsidRPr="00DE109F">
        <w:rPr>
          <w:i/>
        </w:rPr>
        <w:t>a</w:t>
      </w:r>
      <w:r w:rsidR="00F11867">
        <w:rPr>
          <w:i/>
        </w:rPr>
        <w:t xml:space="preserve">re listed for your reference. </w:t>
      </w:r>
      <w:r w:rsidR="00AF30D1">
        <w:rPr>
          <w:i/>
        </w:rPr>
        <w:t xml:space="preserve">If it is easier for you, please </w:t>
      </w:r>
      <w:r w:rsidR="00F11867">
        <w:rPr>
          <w:i/>
        </w:rPr>
        <w:t xml:space="preserve">feel free to simply </w:t>
      </w:r>
      <w:r w:rsidR="00DE109F" w:rsidRPr="00DE109F">
        <w:rPr>
          <w:i/>
        </w:rPr>
        <w:t>provide an overall summary of progress on each of the Aim 5 projects</w:t>
      </w:r>
      <w:r w:rsidR="00AF30D1">
        <w:rPr>
          <w:i/>
        </w:rPr>
        <w:t xml:space="preserve"> rather than addressing each individual work plan task.</w:t>
      </w:r>
    </w:p>
    <w:p w:rsidR="000949B9" w:rsidRDefault="000949B9" w:rsidP="00F57F5A"/>
    <w:p w:rsidR="00DE109F" w:rsidRDefault="00DE109F" w:rsidP="00DE109F">
      <w:pPr>
        <w:shd w:val="clear" w:color="auto" w:fill="D9D9D9" w:themeFill="background1" w:themeFillShade="D9"/>
      </w:pPr>
      <w:r w:rsidRPr="00DE109F">
        <w:t>Announce winners of intern micro-grant program</w:t>
      </w:r>
      <w:r>
        <w:t>.</w:t>
      </w:r>
    </w:p>
    <w:p w:rsidR="00DE109F" w:rsidRDefault="00304DF8" w:rsidP="00F57F5A">
      <w:r>
        <w:t>Graduate student winners of the 6 micro-grants to host interns for summer 2012 were notified in March 2012.</w:t>
      </w:r>
      <w:r w:rsidR="00A57C00">
        <w:t xml:space="preserve">  Official letters were attached in an email to successful applicants, </w:t>
      </w:r>
      <w:r w:rsidR="003300B9">
        <w:t xml:space="preserve">and they </w:t>
      </w:r>
      <w:r w:rsidR="00A57C00">
        <w:t xml:space="preserve">were asked for a </w:t>
      </w:r>
      <w:r w:rsidR="006F1415">
        <w:t xml:space="preserve">confirmatory </w:t>
      </w:r>
      <w:r w:rsidR="00A57C00">
        <w:t xml:space="preserve">response within </w:t>
      </w:r>
      <w:r w:rsidR="006F1415">
        <w:t>one</w:t>
      </w:r>
      <w:r w:rsidR="00A57C00">
        <w:t xml:space="preserve"> week.</w:t>
      </w:r>
    </w:p>
    <w:p w:rsidR="00DE109F" w:rsidRDefault="00DE109F" w:rsidP="00F57F5A"/>
    <w:p w:rsidR="00DE109F" w:rsidRDefault="00DE109F" w:rsidP="00DE109F">
      <w:pPr>
        <w:shd w:val="clear" w:color="auto" w:fill="D9D9D9" w:themeFill="background1" w:themeFillShade="D9"/>
      </w:pPr>
      <w:r w:rsidRPr="00DE109F">
        <w:t>Facilitate undergraduate intern transitions to host universities</w:t>
      </w:r>
      <w:r>
        <w:t>.</w:t>
      </w:r>
    </w:p>
    <w:p w:rsidR="00DE109F" w:rsidRDefault="00FA1FEC" w:rsidP="00FA1FEC">
      <w:r>
        <w:t xml:space="preserve">Mentors and the program coordinator assisted interns with identifying and procuring suitable housing </w:t>
      </w:r>
      <w:r w:rsidR="00FB5829">
        <w:t xml:space="preserve">at or </w:t>
      </w:r>
      <w:r>
        <w:t xml:space="preserve">near host universities for their summer internship.  </w:t>
      </w:r>
      <w:r w:rsidR="003300B9">
        <w:t>All interns needing housing finalized arrangements by their starting dates in May.</w:t>
      </w:r>
    </w:p>
    <w:p w:rsidR="00DE109F" w:rsidRDefault="00DE109F" w:rsidP="00F57F5A"/>
    <w:p w:rsidR="00DE109F" w:rsidRDefault="00DE109F" w:rsidP="00DE109F">
      <w:pPr>
        <w:shd w:val="clear" w:color="auto" w:fill="D9D9D9" w:themeFill="background1" w:themeFillShade="D9"/>
      </w:pPr>
      <w:r w:rsidRPr="00DE109F">
        <w:t>Maintain the intern program web site and update as needed with information for internships and the undergraduate distance course</w:t>
      </w:r>
      <w:r>
        <w:t>.</w:t>
      </w:r>
    </w:p>
    <w:p w:rsidR="000949B9" w:rsidRDefault="007D0FA4" w:rsidP="00F57F5A">
      <w:r>
        <w:t>This task is being performed as needed by the intern program coordinator.  A Frequently Asked Questions (FAQ) page was uploaded to the intern program section on the PINEMAP internet site.</w:t>
      </w:r>
    </w:p>
    <w:p w:rsidR="00DE109F" w:rsidRDefault="00DE109F" w:rsidP="00F57F5A"/>
    <w:p w:rsidR="00DC4B0B" w:rsidRDefault="00DE109F" w:rsidP="00DE109F">
      <w:pPr>
        <w:shd w:val="clear" w:color="auto" w:fill="D9D9D9" w:themeFill="background1" w:themeFillShade="D9"/>
      </w:pPr>
      <w:r w:rsidRPr="00DE109F">
        <w:t>Continue development of undergraduate teaching and communication distance course</w:t>
      </w:r>
      <w:r>
        <w:t>.</w:t>
      </w:r>
    </w:p>
    <w:p w:rsidR="003300B9" w:rsidRDefault="00B87C1F" w:rsidP="00F57F5A">
      <w:r>
        <w:t>The syllabus for the undergraduate teaching and communication course was completed in June.</w:t>
      </w:r>
      <w:r w:rsidR="007D0FA4">
        <w:t xml:space="preserve">  Other course materials such as assignment handouts and class notes are being drafted and finalized.</w:t>
      </w:r>
    </w:p>
    <w:p w:rsidR="00DE109F" w:rsidRDefault="00DE109F" w:rsidP="00F57F5A"/>
    <w:p w:rsidR="00DE109F" w:rsidRDefault="00DE109F" w:rsidP="00DE109F">
      <w:pPr>
        <w:shd w:val="clear" w:color="auto" w:fill="D9D9D9" w:themeFill="background1" w:themeFillShade="D9"/>
      </w:pPr>
      <w:proofErr w:type="gramStart"/>
      <w:r w:rsidRPr="00DE109F">
        <w:t>Weekly monitoring of summer 2012 undergraduate intern program participants</w:t>
      </w:r>
      <w:r>
        <w:t>.</w:t>
      </w:r>
      <w:proofErr w:type="gramEnd"/>
    </w:p>
    <w:p w:rsidR="00DE109F" w:rsidRDefault="007B7FCA" w:rsidP="00F57F5A">
      <w:r>
        <w:lastRenderedPageBreak/>
        <w:t xml:space="preserve">This task is being performed </w:t>
      </w:r>
      <w:r w:rsidR="00422B7C">
        <w:t xml:space="preserve">on an </w:t>
      </w:r>
      <w:r>
        <w:t>informal</w:t>
      </w:r>
      <w:r w:rsidR="00422B7C">
        <w:t xml:space="preserve"> basis</w:t>
      </w:r>
      <w:r>
        <w:t xml:space="preserve"> by the intern program coordinator.  </w:t>
      </w:r>
      <w:r w:rsidR="007D0FA4">
        <w:t>Interns are contacted every other week when timesheet</w:t>
      </w:r>
      <w:r w:rsidR="00661A93">
        <w:t>s</w:t>
      </w:r>
      <w:r w:rsidR="007D0FA4">
        <w:t xml:space="preserve"> are due and other weeks to schedule online meetings.</w:t>
      </w:r>
      <w:r w:rsidR="008F15E0">
        <w:t xml:space="preserve">  </w:t>
      </w:r>
    </w:p>
    <w:p w:rsidR="00DE109F" w:rsidRDefault="00DE109F" w:rsidP="00F57F5A"/>
    <w:p w:rsidR="00DE109F" w:rsidRDefault="00DE109F" w:rsidP="00DE109F">
      <w:pPr>
        <w:shd w:val="clear" w:color="auto" w:fill="D9D9D9" w:themeFill="background1" w:themeFillShade="D9"/>
      </w:pPr>
      <w:proofErr w:type="gramStart"/>
      <w:r w:rsidRPr="00DE109F">
        <w:t>Monthly online meetings with interns and graduate student mentors</w:t>
      </w:r>
      <w:r>
        <w:t>.</w:t>
      </w:r>
      <w:proofErr w:type="gramEnd"/>
    </w:p>
    <w:p w:rsidR="00DE109F" w:rsidRDefault="00661A93" w:rsidP="00F57F5A">
      <w:r>
        <w:t>We have had 1 monthly meeting with program participants.  Interns were able to meet each other and describe their current and projected work schedules.  The program director provided additional detail about the fall distance course and how the internship fits into that half of the intern program.</w:t>
      </w:r>
    </w:p>
    <w:p w:rsidR="00DE109F" w:rsidRDefault="00DE109F" w:rsidP="00F57F5A"/>
    <w:p w:rsidR="00DE109F" w:rsidRDefault="00DE109F" w:rsidP="00DE109F">
      <w:pPr>
        <w:shd w:val="clear" w:color="auto" w:fill="D9D9D9" w:themeFill="background1" w:themeFillShade="D9"/>
      </w:pPr>
      <w:r w:rsidRPr="00DE109F">
        <w:t>Finalize undergraduate teaching and communication distance course syllabus</w:t>
      </w:r>
      <w:r>
        <w:t>.</w:t>
      </w:r>
    </w:p>
    <w:p w:rsidR="00DE109F" w:rsidRDefault="004B0507" w:rsidP="00F57F5A">
      <w:r>
        <w:t xml:space="preserve">The </w:t>
      </w:r>
      <w:r w:rsidR="003300B9">
        <w:t xml:space="preserve">final version of the </w:t>
      </w:r>
      <w:r>
        <w:t>undergraduate teaching and communication distance course syllabus was completed in June.</w:t>
      </w:r>
    </w:p>
    <w:p w:rsidR="00DE109F" w:rsidRDefault="00DE109F" w:rsidP="00F57F5A"/>
    <w:p w:rsidR="00DE109F" w:rsidRDefault="00DE109F" w:rsidP="00DE109F">
      <w:pPr>
        <w:shd w:val="clear" w:color="auto" w:fill="D9D9D9" w:themeFill="background1" w:themeFillShade="D9"/>
      </w:pPr>
      <w:r w:rsidRPr="00DE109F">
        <w:t>Recruit secondary school teachers, 4H and Scout leaders, and introduce undergraduate intern teaching activities</w:t>
      </w:r>
      <w:r>
        <w:t>.</w:t>
      </w:r>
    </w:p>
    <w:p w:rsidR="00DE109F" w:rsidRDefault="00DE109F" w:rsidP="00F57F5A"/>
    <w:p w:rsidR="00DE109F" w:rsidRDefault="00DE109F" w:rsidP="00F57F5A"/>
    <w:p w:rsidR="00DE109F" w:rsidRDefault="00DE109F" w:rsidP="00DE109F">
      <w:pPr>
        <w:shd w:val="clear" w:color="auto" w:fill="D9D9D9" w:themeFill="background1" w:themeFillShade="D9"/>
      </w:pPr>
      <w:r w:rsidRPr="00DE109F">
        <w:t>Conduct undergraduate communication and teaching distance course on education</w:t>
      </w:r>
      <w:r>
        <w:t>.</w:t>
      </w:r>
    </w:p>
    <w:p w:rsidR="00DE109F" w:rsidRDefault="00DE109F" w:rsidP="00F57F5A"/>
    <w:p w:rsidR="00DE109F" w:rsidRDefault="00DE109F" w:rsidP="00F57F5A"/>
    <w:p w:rsidR="00DE109F" w:rsidRDefault="00DE109F" w:rsidP="00DE109F">
      <w:pPr>
        <w:shd w:val="clear" w:color="auto" w:fill="D9D9D9" w:themeFill="background1" w:themeFillShade="D9"/>
      </w:pPr>
      <w:r w:rsidRPr="00DE109F">
        <w:t>Promote 2013 summer undergraduate internship program</w:t>
      </w:r>
      <w:r>
        <w:t>.</w:t>
      </w:r>
    </w:p>
    <w:p w:rsidR="00DE109F" w:rsidRDefault="00DE109F" w:rsidP="00F57F5A"/>
    <w:p w:rsidR="00DE109F" w:rsidRDefault="00DE109F" w:rsidP="00F57F5A"/>
    <w:p w:rsidR="00DE109F" w:rsidRDefault="00DE109F" w:rsidP="00DE109F">
      <w:pPr>
        <w:shd w:val="clear" w:color="auto" w:fill="D9D9D9" w:themeFill="background1" w:themeFillShade="D9"/>
      </w:pPr>
      <w:r w:rsidRPr="00DE109F">
        <w:t>Deliver inquiry-based educational presentations</w:t>
      </w:r>
      <w:r>
        <w:t>.</w:t>
      </w:r>
    </w:p>
    <w:p w:rsidR="00DC4B0B" w:rsidRDefault="00DC4B0B" w:rsidP="00F57F5A"/>
    <w:p w:rsidR="00F11867" w:rsidRDefault="00F11867" w:rsidP="00F57F5A"/>
    <w:p w:rsidR="00DC4B0B" w:rsidRDefault="00725C1A" w:rsidP="00725C1A">
      <w:pPr>
        <w:shd w:val="clear" w:color="auto" w:fill="D9D9D9" w:themeFill="background1" w:themeFillShade="D9"/>
      </w:pPr>
      <w:r w:rsidRPr="00725C1A">
        <w:t>Obtain evaluation input from students and faculty on future graduate student interactions and next course offering</w:t>
      </w:r>
      <w:r>
        <w:t>.</w:t>
      </w:r>
    </w:p>
    <w:p w:rsidR="00DC4B0B" w:rsidRDefault="00A77214" w:rsidP="00F57F5A">
      <w:r>
        <w:t>Evaluation data were collected in April and May 2012 and the course was discussed during the annual PINEMAP meeting in Atlanta. A compilation and summary report has been shared with all instructors and the course organizing team for 2013.</w:t>
      </w:r>
    </w:p>
    <w:p w:rsidR="00725C1A" w:rsidRDefault="00725C1A" w:rsidP="00F57F5A"/>
    <w:p w:rsidR="00725C1A" w:rsidRDefault="00725C1A" w:rsidP="00725C1A">
      <w:pPr>
        <w:shd w:val="clear" w:color="auto" w:fill="D9D9D9" w:themeFill="background1" w:themeFillShade="D9"/>
      </w:pPr>
      <w:r w:rsidRPr="00725C1A">
        <w:t>Compile and review evaluations and student/faculty input; plan for second version of course scheduled for spring 2013 as well as future graduate student activities and interaction within PINEMAP</w:t>
      </w:r>
      <w:r>
        <w:t>.</w:t>
      </w:r>
    </w:p>
    <w:p w:rsidR="00725C1A" w:rsidRPr="00725C1A" w:rsidRDefault="00725C1A" w:rsidP="00F57F5A"/>
    <w:p w:rsidR="00725C1A" w:rsidRDefault="00725C1A" w:rsidP="00F57F5A"/>
    <w:p w:rsidR="00725C1A" w:rsidRDefault="00725C1A" w:rsidP="00725C1A">
      <w:pPr>
        <w:shd w:val="clear" w:color="auto" w:fill="D9D9D9" w:themeFill="background1" w:themeFillShade="D9"/>
      </w:pPr>
      <w:r w:rsidRPr="00725C1A">
        <w:t>Revise course syllabus, structure, themes, and overall goals/objectives based on evaluations and student/faculty input</w:t>
      </w:r>
      <w:r>
        <w:t>.</w:t>
      </w:r>
    </w:p>
    <w:p w:rsidR="00725C1A" w:rsidRDefault="00725C1A" w:rsidP="00F57F5A"/>
    <w:p w:rsidR="00725C1A" w:rsidRDefault="00725C1A" w:rsidP="00F57F5A"/>
    <w:p w:rsidR="00725C1A" w:rsidRPr="00725C1A" w:rsidRDefault="00725C1A" w:rsidP="00725C1A">
      <w:pPr>
        <w:shd w:val="clear" w:color="auto" w:fill="D9D9D9" w:themeFill="background1" w:themeFillShade="D9"/>
      </w:pPr>
      <w:r w:rsidRPr="00725C1A">
        <w:t>Identify instruction and assignment coordinators/teams; work with instruction and assignment teams to finalize course syllabus, structure, and themes</w:t>
      </w:r>
      <w:r>
        <w:t>.</w:t>
      </w:r>
    </w:p>
    <w:p w:rsidR="00725C1A" w:rsidRDefault="00725C1A" w:rsidP="00F57F5A">
      <w:pPr>
        <w:rPr>
          <w:b/>
          <w:u w:val="single"/>
        </w:rPr>
      </w:pPr>
    </w:p>
    <w:p w:rsidR="00F11867" w:rsidRDefault="00F11867" w:rsidP="00F57F5A">
      <w:pPr>
        <w:rPr>
          <w:b/>
          <w:u w:val="single"/>
        </w:rPr>
      </w:pPr>
    </w:p>
    <w:p w:rsidR="00725C1A" w:rsidRDefault="00725C1A" w:rsidP="00725C1A">
      <w:pPr>
        <w:shd w:val="clear" w:color="auto" w:fill="D9D9D9" w:themeFill="background1" w:themeFillShade="D9"/>
      </w:pPr>
      <w:r w:rsidRPr="00725C1A">
        <w:t>Develop and revise activities, based on advisory committee feedback</w:t>
      </w:r>
      <w:r>
        <w:t>.</w:t>
      </w:r>
    </w:p>
    <w:p w:rsidR="00A77214" w:rsidRDefault="00DD6436" w:rsidP="00F57F5A">
      <w:r>
        <w:t xml:space="preserve">We have held 4 conference calls with the Education Advisory Committee to review activity drafts and concepts. In addition to the feedback gathering during the call, several committee members have emailed suggestions and comments. Seven </w:t>
      </w:r>
      <w:r w:rsidR="007F26E7">
        <w:t>activities have been developed and revised, based on Advisory Committee Feedback</w:t>
      </w:r>
      <w:r>
        <w:t xml:space="preserve">. The table </w:t>
      </w:r>
      <w:r w:rsidR="000A47AD">
        <w:t>on page</w:t>
      </w:r>
      <w:r w:rsidR="00E805BE">
        <w:t>s</w:t>
      </w:r>
      <w:r w:rsidR="000A47AD">
        <w:t xml:space="preserve"> 14</w:t>
      </w:r>
      <w:r w:rsidR="00E805BE">
        <w:t>-15</w:t>
      </w:r>
      <w:r w:rsidR="000A47AD">
        <w:t xml:space="preserve"> </w:t>
      </w:r>
      <w:r>
        <w:t xml:space="preserve">summarizes activities that will be included in the module and </w:t>
      </w:r>
      <w:r w:rsidR="000A47AD">
        <w:t xml:space="preserve">their </w:t>
      </w:r>
      <w:r>
        <w:t xml:space="preserve">stages of development. </w:t>
      </w:r>
    </w:p>
    <w:p w:rsidR="00725C1A" w:rsidRDefault="00725C1A" w:rsidP="00F57F5A"/>
    <w:p w:rsidR="00725C1A" w:rsidRDefault="00725C1A" w:rsidP="00725C1A">
      <w:pPr>
        <w:shd w:val="clear" w:color="auto" w:fill="D9D9D9" w:themeFill="background1" w:themeFillShade="D9"/>
      </w:pPr>
      <w:r w:rsidRPr="00725C1A">
        <w:t>Launch needs assessment with high school science teachers</w:t>
      </w:r>
      <w:r>
        <w:t>.</w:t>
      </w:r>
    </w:p>
    <w:p w:rsidR="00725C1A" w:rsidRDefault="00A77214" w:rsidP="00F57F5A">
      <w:r>
        <w:t>A</w:t>
      </w:r>
      <w:r w:rsidR="00C93EAC">
        <w:t>n online</w:t>
      </w:r>
      <w:r>
        <w:t xml:space="preserve"> needs assessment survey was launched in April 2012 with 4 </w:t>
      </w:r>
      <w:r w:rsidR="00C93EAC">
        <w:t xml:space="preserve">email </w:t>
      </w:r>
      <w:r>
        <w:t xml:space="preserve">lists of teachers and </w:t>
      </w:r>
      <w:r w:rsidR="00C93EAC">
        <w:t xml:space="preserve">9 </w:t>
      </w:r>
      <w:r>
        <w:t xml:space="preserve">contacts who forwarded the survey link to their </w:t>
      </w:r>
      <w:r w:rsidR="00C93EAC">
        <w:t xml:space="preserve">email </w:t>
      </w:r>
      <w:r>
        <w:t xml:space="preserve">lists. A total of </w:t>
      </w:r>
      <w:r w:rsidR="00C93EAC">
        <w:t xml:space="preserve">732 </w:t>
      </w:r>
      <w:r>
        <w:t xml:space="preserve">teachers completed the survey by </w:t>
      </w:r>
      <w:r w:rsidR="00C93EAC">
        <w:t>June 13</w:t>
      </w:r>
      <w:r>
        <w:t>, 2012.</w:t>
      </w:r>
    </w:p>
    <w:p w:rsidR="00DD6436" w:rsidRDefault="00DD6436" w:rsidP="00F57F5A"/>
    <w:p w:rsidR="00725C1A" w:rsidRDefault="00725C1A" w:rsidP="00725C1A">
      <w:pPr>
        <w:shd w:val="clear" w:color="auto" w:fill="D9D9D9" w:themeFill="background1" w:themeFillShade="D9"/>
      </w:pPr>
      <w:r w:rsidRPr="00725C1A">
        <w:t>Identify experts to review activities</w:t>
      </w:r>
      <w:r>
        <w:t>.</w:t>
      </w:r>
    </w:p>
    <w:p w:rsidR="00725C1A" w:rsidRDefault="00725C1A" w:rsidP="00F57F5A"/>
    <w:p w:rsidR="00C93EAC" w:rsidRDefault="00C93EAC" w:rsidP="00F57F5A"/>
    <w:p w:rsidR="00725C1A" w:rsidRDefault="00725C1A" w:rsidP="00725C1A">
      <w:pPr>
        <w:shd w:val="clear" w:color="auto" w:fill="D9D9D9" w:themeFill="background1" w:themeFillShade="D9"/>
      </w:pPr>
      <w:r>
        <w:t xml:space="preserve">Collect data on </w:t>
      </w:r>
      <w:r w:rsidRPr="00725C1A">
        <w:t>climate change education strategies</w:t>
      </w:r>
    </w:p>
    <w:p w:rsidR="00C93EAC" w:rsidRDefault="00C93EAC" w:rsidP="00F57F5A">
      <w:r>
        <w:t xml:space="preserve">Data </w:t>
      </w:r>
      <w:r w:rsidR="007B3DDD">
        <w:t xml:space="preserve">are </w:t>
      </w:r>
      <w:r>
        <w:t xml:space="preserve">being collected in July at two summer science camps hosted by the </w:t>
      </w:r>
      <w:r w:rsidRPr="00AA05CD">
        <w:t xml:space="preserve">Center for </w:t>
      </w:r>
      <w:proofErr w:type="spellStart"/>
      <w:r w:rsidRPr="00AA05CD">
        <w:t>Precollegiate</w:t>
      </w:r>
      <w:proofErr w:type="spellEnd"/>
      <w:r w:rsidRPr="00AA05CD">
        <w:t xml:space="preserve"> Education and Training, University of Florida</w:t>
      </w:r>
      <w:r>
        <w:t xml:space="preserve">. </w:t>
      </w:r>
    </w:p>
    <w:p w:rsidR="00725C1A" w:rsidRDefault="00725C1A" w:rsidP="00F57F5A"/>
    <w:p w:rsidR="00725C1A" w:rsidRDefault="00725C1A" w:rsidP="00725C1A">
      <w:pPr>
        <w:shd w:val="clear" w:color="auto" w:fill="D9D9D9" w:themeFill="background1" w:themeFillShade="D9"/>
      </w:pPr>
      <w:r w:rsidRPr="00725C1A">
        <w:t>Develop supplemental resources (videos, web site, etc.)</w:t>
      </w:r>
      <w:r>
        <w:t>.</w:t>
      </w:r>
    </w:p>
    <w:p w:rsidR="00725C1A" w:rsidRDefault="00725C1A" w:rsidP="00F57F5A"/>
    <w:p w:rsidR="000949B9" w:rsidRPr="00487FD9" w:rsidRDefault="00056146" w:rsidP="00F57F5A">
      <w:pPr>
        <w:rPr>
          <w:b/>
          <w:u w:val="single"/>
        </w:rPr>
      </w:pPr>
      <w:r>
        <w:rPr>
          <w:b/>
          <w:u w:val="single"/>
        </w:rPr>
        <w:t xml:space="preserve">Annual Report </w:t>
      </w:r>
      <w:r w:rsidR="00487FD9" w:rsidRPr="00487FD9">
        <w:rPr>
          <w:b/>
          <w:u w:val="single"/>
        </w:rPr>
        <w:t>Sidebars</w:t>
      </w:r>
    </w:p>
    <w:p w:rsidR="00487FD9" w:rsidRDefault="00487FD9" w:rsidP="00F57F5A"/>
    <w:p w:rsidR="00487FD9" w:rsidRDefault="00487FD9" w:rsidP="00487FD9">
      <w:pPr>
        <w:shd w:val="clear" w:color="auto" w:fill="D9D9D9" w:themeFill="background1" w:themeFillShade="D9"/>
      </w:pPr>
      <w:r>
        <w:t xml:space="preserve">We will highlight interesting results, stories, or successes for each Aim in sidebars in the annual report. </w:t>
      </w:r>
      <w:r w:rsidR="004D3C81">
        <w:t xml:space="preserve">Please identify at least two items from your Aim that will become sidebars for the annual report. Each sidebar should be illustrated with a </w:t>
      </w:r>
      <w:r>
        <w:t>figure, table, or photograph that will draw attention</w:t>
      </w:r>
      <w:r w:rsidR="004D3C81">
        <w:t xml:space="preserve">. In addition, </w:t>
      </w:r>
      <w:r>
        <w:t>provide a paragraph of text summarizing the experiment, project, or result.</w:t>
      </w:r>
    </w:p>
    <w:p w:rsidR="00C74C95" w:rsidRDefault="00C74C95" w:rsidP="003D1EFD">
      <w:pPr>
        <w:pStyle w:val="ListParagraph"/>
        <w:ind w:left="0"/>
      </w:pPr>
    </w:p>
    <w:p w:rsidR="000B5BE9" w:rsidRPr="0058111E" w:rsidRDefault="00A77214" w:rsidP="0058111E">
      <w:pPr>
        <w:pStyle w:val="ListParagraph"/>
        <w:numPr>
          <w:ilvl w:val="0"/>
          <w:numId w:val="16"/>
        </w:numPr>
      </w:pPr>
      <w:r w:rsidRPr="0058111E">
        <w:t>Grad course</w:t>
      </w:r>
    </w:p>
    <w:p w:rsidR="000B5BE9" w:rsidRPr="0058111E" w:rsidRDefault="000B5BE9" w:rsidP="004375A4"/>
    <w:p w:rsidR="001F16EF" w:rsidRPr="0058111E" w:rsidRDefault="00A77214" w:rsidP="0058111E">
      <w:pPr>
        <w:pStyle w:val="ListParagraph"/>
        <w:numPr>
          <w:ilvl w:val="0"/>
          <w:numId w:val="16"/>
        </w:numPr>
      </w:pPr>
      <w:r w:rsidRPr="0058111E">
        <w:t>Needs assessment</w:t>
      </w:r>
      <w:r w:rsidR="0058111E">
        <w:t>: Will provide paragraph and figures/tables when results are finalized.</w:t>
      </w:r>
    </w:p>
    <w:p w:rsidR="001F16EF" w:rsidRPr="0058111E" w:rsidRDefault="001F16EF" w:rsidP="004375A4"/>
    <w:p w:rsidR="001F16EF" w:rsidRPr="0058111E" w:rsidRDefault="0058111E" w:rsidP="0058111E">
      <w:pPr>
        <w:pStyle w:val="ListParagraph"/>
        <w:numPr>
          <w:ilvl w:val="0"/>
          <w:numId w:val="16"/>
        </w:numPr>
      </w:pPr>
      <w:r>
        <w:t>R</w:t>
      </w:r>
      <w:r w:rsidR="00A77214" w:rsidRPr="0058111E">
        <w:t>esults from pilot testing activities</w:t>
      </w:r>
      <w:r>
        <w:t xml:space="preserve"> (Stephanie’s research):  Will provide paragraph, photos, and figures/tables when results are finalized.</w:t>
      </w:r>
    </w:p>
    <w:p w:rsidR="001F16EF" w:rsidRDefault="001F16EF" w:rsidP="004375A4">
      <w:pPr>
        <w:rPr>
          <w:b/>
          <w:u w:val="single"/>
        </w:rPr>
      </w:pPr>
    </w:p>
    <w:p w:rsidR="004375A4" w:rsidRPr="00457CD9" w:rsidRDefault="004375A4" w:rsidP="004375A4">
      <w:pPr>
        <w:rPr>
          <w:b/>
          <w:u w:val="single"/>
        </w:rPr>
      </w:pPr>
      <w:r w:rsidRPr="00457CD9">
        <w:rPr>
          <w:b/>
          <w:u w:val="single"/>
        </w:rPr>
        <w:t>Broad Impacts</w:t>
      </w:r>
      <w:r w:rsidR="002E1D15">
        <w:rPr>
          <w:b/>
          <w:u w:val="single"/>
        </w:rPr>
        <w:t xml:space="preserve"> &amp; External Collaborations</w:t>
      </w:r>
    </w:p>
    <w:p w:rsidR="00457CD9" w:rsidRDefault="00457CD9" w:rsidP="00457CD9">
      <w:pPr>
        <w:shd w:val="clear" w:color="auto" w:fill="FFFFFF" w:themeFill="background1"/>
      </w:pPr>
    </w:p>
    <w:p w:rsidR="004375A4" w:rsidRDefault="00487FD9" w:rsidP="00457CD9">
      <w:pPr>
        <w:shd w:val="clear" w:color="auto" w:fill="D9D9D9" w:themeFill="background1" w:themeFillShade="D9"/>
      </w:pPr>
      <w:r>
        <w:t>Provi</w:t>
      </w:r>
      <w:r w:rsidR="00DC4B0B">
        <w:t xml:space="preserve">de a short narrative describing </w:t>
      </w:r>
      <w:r w:rsidR="00DC4B0B" w:rsidRPr="00DC4B0B">
        <w:t>broad impacts</w:t>
      </w:r>
      <w:r w:rsidR="00DC4B0B">
        <w:t xml:space="preserve"> (</w:t>
      </w:r>
      <w:r w:rsidR="004E77D3">
        <w:t xml:space="preserve">i.e., </w:t>
      </w:r>
      <w:r w:rsidR="00457CD9">
        <w:t>far-reaching and possibly unanticipated outcomes</w:t>
      </w:r>
      <w:r w:rsidR="000949B9">
        <w:t xml:space="preserve"> resulting from Aim work</w:t>
      </w:r>
      <w:r>
        <w:t>, including contacts</w:t>
      </w:r>
      <w:r w:rsidR="00457CD9">
        <w:t>/collaborations with entities outside of PINEMAP</w:t>
      </w:r>
      <w:r w:rsidR="00DC4B0B">
        <w:t>)</w:t>
      </w:r>
      <w:r w:rsidR="00457CD9">
        <w:t>.</w:t>
      </w:r>
      <w:r>
        <w:t xml:space="preserve"> </w:t>
      </w:r>
    </w:p>
    <w:p w:rsidR="007C54CB" w:rsidRDefault="007C54CB" w:rsidP="004375A4">
      <w:r>
        <w:t xml:space="preserve">The needs assessment with high school teachers has generated interest in pilot testing the new climate change activities. We have a list of </w:t>
      </w:r>
      <w:r w:rsidR="00DB3EE6">
        <w:t xml:space="preserve">29 </w:t>
      </w:r>
      <w:r>
        <w:t>volunteers who have expressed interest in the materials.</w:t>
      </w:r>
    </w:p>
    <w:p w:rsidR="007C54CB" w:rsidRDefault="007C54CB" w:rsidP="004375A4">
      <w:r>
        <w:lastRenderedPageBreak/>
        <w:t>The PINEMAP graduate students have expressed interest in taking additional courses offered at other universities within the project</w:t>
      </w:r>
      <w:r w:rsidR="000A3B60">
        <w:t xml:space="preserve">, which could challenge our institutions to allow an “exchange student” option to federally-funded multi-institution students on assistantships. Students have also offered to </w:t>
      </w:r>
      <w:r>
        <w:t xml:space="preserve">assist incoming graduate students with </w:t>
      </w:r>
      <w:r w:rsidR="000A3B60">
        <w:t xml:space="preserve">course </w:t>
      </w:r>
      <w:r>
        <w:t xml:space="preserve">assignments, building a </w:t>
      </w:r>
      <w:r w:rsidR="000A3B60">
        <w:t>more cohesive network of students.</w:t>
      </w:r>
    </w:p>
    <w:p w:rsidR="000A3B60" w:rsidRDefault="000A3B60" w:rsidP="004375A4"/>
    <w:p w:rsidR="004375A4" w:rsidRPr="00457CD9" w:rsidRDefault="00DC4B0B" w:rsidP="004375A4">
      <w:pPr>
        <w:rPr>
          <w:b/>
          <w:u w:val="single"/>
        </w:rPr>
      </w:pPr>
      <w:r w:rsidRPr="00DC4B0B">
        <w:rPr>
          <w:b/>
          <w:u w:val="single"/>
        </w:rPr>
        <w:t>T</w:t>
      </w:r>
      <w:r w:rsidR="004375A4" w:rsidRPr="00457CD9">
        <w:rPr>
          <w:b/>
          <w:u w:val="single"/>
        </w:rPr>
        <w:t>raining</w:t>
      </w:r>
      <w:r w:rsidR="008F59BE">
        <w:rPr>
          <w:b/>
          <w:u w:val="single"/>
        </w:rPr>
        <w:t xml:space="preserve"> </w:t>
      </w:r>
    </w:p>
    <w:p w:rsidR="004375A4" w:rsidRDefault="004375A4" w:rsidP="004375A4"/>
    <w:p w:rsidR="007D3D87" w:rsidRDefault="007D3D87" w:rsidP="00260979">
      <w:pPr>
        <w:shd w:val="clear" w:color="auto" w:fill="D9D9D9" w:themeFill="background1" w:themeFillShade="D9"/>
      </w:pPr>
      <w:r>
        <w:t>Please list</w:t>
      </w:r>
      <w:r w:rsidR="000949B9">
        <w:t xml:space="preserve"> </w:t>
      </w:r>
      <w:r w:rsidR="00457CD9">
        <w:t>undergraduate an</w:t>
      </w:r>
      <w:r w:rsidR="004E77D3">
        <w:t>d graduate students, postdocs, and</w:t>
      </w:r>
      <w:r w:rsidR="00457CD9">
        <w:t xml:space="preserve"> technical</w:t>
      </w:r>
      <w:r w:rsidR="00260979">
        <w:t xml:space="preserve"> personnel </w:t>
      </w:r>
      <w:r w:rsidR="008F59BE">
        <w:t>trained under this project</w:t>
      </w:r>
      <w:r>
        <w:t xml:space="preserve"> </w:t>
      </w:r>
      <w:r w:rsidR="004E77D3">
        <w:t>and include</w:t>
      </w:r>
      <w:r w:rsidR="008F59BE">
        <w:t xml:space="preserve"> </w:t>
      </w:r>
      <w:r w:rsidR="004E77D3">
        <w:t xml:space="preserve">a description of their research focus and/or </w:t>
      </w:r>
      <w:r w:rsidR="008F59BE">
        <w:t>role in the project.</w:t>
      </w:r>
      <w:r w:rsidR="00260979">
        <w:t xml:space="preserve"> </w:t>
      </w:r>
    </w:p>
    <w:p w:rsidR="003D1EFD" w:rsidRDefault="003D1EFD" w:rsidP="00260979">
      <w:pPr>
        <w:shd w:val="clear" w:color="auto" w:fill="D9D9D9" w:themeFill="background1" w:themeFillShade="D9"/>
        <w:rPr>
          <w:i/>
        </w:rPr>
      </w:pPr>
    </w:p>
    <w:p w:rsidR="006F0F21" w:rsidRPr="003F2C8B" w:rsidRDefault="007D3D87" w:rsidP="00260979">
      <w:pPr>
        <w:shd w:val="clear" w:color="auto" w:fill="D9D9D9" w:themeFill="background1" w:themeFillShade="D9"/>
        <w:rPr>
          <w:i/>
        </w:rPr>
      </w:pPr>
      <w:r w:rsidRPr="003F2C8B">
        <w:rPr>
          <w:i/>
        </w:rPr>
        <w:t>A list is provided from the Year 1 Annual Report; p</w:t>
      </w:r>
      <w:r w:rsidR="008F59BE" w:rsidRPr="003F2C8B">
        <w:rPr>
          <w:i/>
        </w:rPr>
        <w:t xml:space="preserve">lease update as </w:t>
      </w:r>
      <w:r w:rsidR="00BE5266" w:rsidRPr="003F2C8B">
        <w:rPr>
          <w:i/>
        </w:rPr>
        <w:t>necessary</w:t>
      </w:r>
      <w:r w:rsidRPr="003F2C8B">
        <w:rPr>
          <w:i/>
        </w:rPr>
        <w:t xml:space="preserve"> to </w:t>
      </w:r>
      <w:r w:rsidR="003F2C8B" w:rsidRPr="003F2C8B">
        <w:rPr>
          <w:i/>
        </w:rPr>
        <w:t>cover the</w:t>
      </w:r>
      <w:r w:rsidR="00F21501">
        <w:rPr>
          <w:i/>
        </w:rPr>
        <w:t xml:space="preserve"> time period </w:t>
      </w:r>
      <w:r w:rsidR="004D3C81">
        <w:rPr>
          <w:i/>
        </w:rPr>
        <w:t>January</w:t>
      </w:r>
      <w:r w:rsidR="003F2C8B" w:rsidRPr="003F2C8B">
        <w:rPr>
          <w:i/>
        </w:rPr>
        <w:t>-November 2012.</w:t>
      </w:r>
    </w:p>
    <w:p w:rsidR="000B5BE9" w:rsidRPr="000B5BE9" w:rsidRDefault="000B5BE9" w:rsidP="000B5BE9">
      <w:pPr>
        <w:numPr>
          <w:ilvl w:val="0"/>
          <w:numId w:val="11"/>
        </w:numPr>
      </w:pPr>
      <w:r w:rsidRPr="000B5BE9">
        <w:t>Stephanie Hall, M.S. student, University of Florida. Stephanie is helping to develop and pilot test activities for the PLT/PINEMAP Secondary Module and will conduct research on how to best introduce potentially divisive and contested concepts in secondary school curricula.</w:t>
      </w:r>
    </w:p>
    <w:p w:rsidR="000B5BE9" w:rsidRPr="000B5BE9" w:rsidRDefault="000B5BE9" w:rsidP="000B5BE9">
      <w:pPr>
        <w:numPr>
          <w:ilvl w:val="0"/>
          <w:numId w:val="11"/>
        </w:numPr>
        <w:rPr>
          <w:bCs/>
        </w:rPr>
      </w:pPr>
      <w:r w:rsidRPr="000B5BE9">
        <w:rPr>
          <w:bCs/>
        </w:rPr>
        <w:t>John Kidd, Undergraduate Intern Program Coordinator, Virginia Tech. John is developing the selection criteria, matching students, awarding proposals, developing the fall course, and working with local teachers to set up school presentations for the Undergraduate Internship Program.</w:t>
      </w:r>
    </w:p>
    <w:p w:rsidR="000B5BE9" w:rsidRPr="000B5BE9" w:rsidRDefault="000B5BE9" w:rsidP="000B5BE9">
      <w:pPr>
        <w:numPr>
          <w:ilvl w:val="0"/>
          <w:numId w:val="11"/>
        </w:numPr>
        <w:rPr>
          <w:bCs/>
        </w:rPr>
      </w:pPr>
      <w:r w:rsidRPr="000B5BE9">
        <w:rPr>
          <w:bCs/>
        </w:rPr>
        <w:t>Annie Oxarart, Environmental Education Program Coordinator, University of Florida. Annie is working on the development of the PLT/PINEMAP Secondary Module, including assisting with the needs assessment, development and pilot testing of activities, and oversight of the Education Advisory Committee.</w:t>
      </w:r>
    </w:p>
    <w:p w:rsidR="00923A12" w:rsidRDefault="000B5BE9" w:rsidP="00923A12">
      <w:pPr>
        <w:numPr>
          <w:ilvl w:val="0"/>
          <w:numId w:val="11"/>
        </w:numPr>
        <w:rPr>
          <w:bCs/>
        </w:rPr>
      </w:pPr>
      <w:r w:rsidRPr="000B5BE9">
        <w:rPr>
          <w:bCs/>
        </w:rPr>
        <w:t>Richard Plate, Postdoctoral Associate, University of Florida. Dr. Plate is assisting with the development and evaluation of activities for the PLT/PINEMAP Secondary Module</w:t>
      </w:r>
      <w:r w:rsidR="000A3B60">
        <w:rPr>
          <w:bCs/>
        </w:rPr>
        <w:t xml:space="preserve"> and analyzing needs assessment data</w:t>
      </w:r>
      <w:r w:rsidRPr="000B5BE9">
        <w:rPr>
          <w:bCs/>
        </w:rPr>
        <w:t>.</w:t>
      </w:r>
    </w:p>
    <w:p w:rsidR="00AC05E7" w:rsidRPr="00923A12" w:rsidRDefault="007D267A" w:rsidP="00923A12">
      <w:pPr>
        <w:numPr>
          <w:ilvl w:val="0"/>
          <w:numId w:val="11"/>
        </w:numPr>
        <w:rPr>
          <w:bCs/>
        </w:rPr>
      </w:pPr>
      <w:r w:rsidRPr="00923A12">
        <w:rPr>
          <w:bCs/>
        </w:rPr>
        <w:t xml:space="preserve">Paul </w:t>
      </w:r>
      <w:r w:rsidRPr="00923A12">
        <w:t xml:space="preserve">Decker, </w:t>
      </w:r>
      <w:r w:rsidR="00391229">
        <w:t>U</w:t>
      </w:r>
      <w:r w:rsidRPr="00923A12">
        <w:t xml:space="preserve">ndergraduate </w:t>
      </w:r>
      <w:r w:rsidR="00391229">
        <w:t>I</w:t>
      </w:r>
      <w:r w:rsidRPr="00923A12">
        <w:t>ntern</w:t>
      </w:r>
      <w:r w:rsidR="00C44D0E">
        <w:t xml:space="preserve"> from Virginia Tech. </w:t>
      </w:r>
      <w:r w:rsidR="00923A12" w:rsidRPr="00923A12">
        <w:t xml:space="preserve">  Paul is working with Stephanie Hall </w:t>
      </w:r>
      <w:r w:rsidR="00C44D0E">
        <w:t xml:space="preserve">at the University of Florida </w:t>
      </w:r>
      <w:r w:rsidR="00923A12" w:rsidRPr="00923A12">
        <w:t xml:space="preserve">to </w:t>
      </w:r>
      <w:r w:rsidR="00923A12" w:rsidRPr="00D72B64">
        <w:t>investigate how to teach high school students about controversial topic</w:t>
      </w:r>
      <w:r w:rsidR="00923A12">
        <w:t>s</w:t>
      </w:r>
      <w:r w:rsidR="00923A12" w:rsidRPr="00D72B64">
        <w:t xml:space="preserve"> such as climate change.</w:t>
      </w:r>
    </w:p>
    <w:p w:rsidR="00816CAF" w:rsidRDefault="00816CAF" w:rsidP="004375A4"/>
    <w:p w:rsidR="004375A4" w:rsidRPr="008F59BE" w:rsidRDefault="004375A4" w:rsidP="004375A4">
      <w:pPr>
        <w:rPr>
          <w:b/>
          <w:u w:val="single"/>
        </w:rPr>
      </w:pPr>
      <w:r w:rsidRPr="008F59BE">
        <w:rPr>
          <w:b/>
          <w:u w:val="single"/>
        </w:rPr>
        <w:t xml:space="preserve">Collaborations and </w:t>
      </w:r>
      <w:r w:rsidR="008F59BE">
        <w:rPr>
          <w:b/>
          <w:u w:val="single"/>
        </w:rPr>
        <w:t>“</w:t>
      </w:r>
      <w:r w:rsidRPr="008F59BE">
        <w:rPr>
          <w:b/>
          <w:u w:val="single"/>
        </w:rPr>
        <w:t>integrated</w:t>
      </w:r>
      <w:r w:rsidR="008F59BE">
        <w:rPr>
          <w:b/>
          <w:u w:val="single"/>
        </w:rPr>
        <w:t>”</w:t>
      </w:r>
      <w:r w:rsidRPr="008F59BE">
        <w:rPr>
          <w:b/>
          <w:u w:val="single"/>
        </w:rPr>
        <w:t xml:space="preserve"> knowledge developed</w:t>
      </w:r>
    </w:p>
    <w:p w:rsidR="004375A4" w:rsidRDefault="004375A4" w:rsidP="004375A4"/>
    <w:p w:rsidR="00AC5564" w:rsidRDefault="00487FD9" w:rsidP="00CA41C3">
      <w:pPr>
        <w:shd w:val="clear" w:color="auto" w:fill="D9D9D9" w:themeFill="background1" w:themeFillShade="D9"/>
      </w:pPr>
      <w:r>
        <w:t xml:space="preserve">Provide a </w:t>
      </w:r>
      <w:r w:rsidR="00DC4B0B">
        <w:t xml:space="preserve">short </w:t>
      </w:r>
      <w:r>
        <w:t>narrative describing</w:t>
      </w:r>
      <w:r w:rsidR="002E1D15">
        <w:t xml:space="preserve"> new ideas, research questions, or insights that have arisen through work and discussions with colleagues, stakeholders, and others. In addition, explain the extent to which you </w:t>
      </w:r>
      <w:r w:rsidR="00276F99">
        <w:t xml:space="preserve">intend to incorporate this into </w:t>
      </w:r>
      <w:r w:rsidR="002E1D15">
        <w:t xml:space="preserve">PINEMAP milestones and/or </w:t>
      </w:r>
      <w:r w:rsidR="00816CAF">
        <w:t xml:space="preserve">your </w:t>
      </w:r>
      <w:r w:rsidR="002E1D15">
        <w:t xml:space="preserve">Aim work plan. </w:t>
      </w:r>
    </w:p>
    <w:p w:rsidR="000949B9" w:rsidRDefault="000949B9" w:rsidP="00AC5564"/>
    <w:p w:rsidR="000B5BE9" w:rsidRDefault="000B5BE9" w:rsidP="00AC5564"/>
    <w:p w:rsidR="00D90404" w:rsidRDefault="00D90404" w:rsidP="00AC5564">
      <w:r>
        <w:t>Stephanie</w:t>
      </w:r>
      <w:r w:rsidR="000A47AD">
        <w:t xml:space="preserve"> Hall: Ch</w:t>
      </w:r>
      <w:r>
        <w:t>allenges to the science education</w:t>
      </w:r>
      <w:r w:rsidR="000A47AD">
        <w:t xml:space="preserve"> about controversial issues;</w:t>
      </w:r>
      <w:r>
        <w:t xml:space="preserve"> addressing misconceptions to allow learners to accommodate new information</w:t>
      </w:r>
      <w:r w:rsidR="000A47AD">
        <w:t>.</w:t>
      </w:r>
    </w:p>
    <w:p w:rsidR="00D90404" w:rsidRDefault="00D90404" w:rsidP="00AC5564"/>
    <w:p w:rsidR="000949B9" w:rsidRDefault="000949B9" w:rsidP="00AC5564"/>
    <w:p w:rsidR="00D12012" w:rsidRDefault="00D12012" w:rsidP="00AC5564"/>
    <w:p w:rsidR="00B736A6" w:rsidRPr="006F0F21" w:rsidRDefault="00CA41C3" w:rsidP="00F54127">
      <w:pPr>
        <w:shd w:val="clear" w:color="auto" w:fill="FFFFFF" w:themeFill="background1"/>
        <w:rPr>
          <w:b/>
        </w:rPr>
      </w:pPr>
      <w:r w:rsidRPr="00F54127">
        <w:rPr>
          <w:b/>
          <w:u w:val="single"/>
        </w:rPr>
        <w:lastRenderedPageBreak/>
        <w:t>Needs from/linkages to other Aim groups</w:t>
      </w:r>
    </w:p>
    <w:p w:rsidR="00F54127" w:rsidRPr="00B736A6" w:rsidRDefault="00F54127" w:rsidP="00F54127">
      <w:pPr>
        <w:shd w:val="clear" w:color="auto" w:fill="FFFFFF" w:themeFill="background1"/>
      </w:pPr>
    </w:p>
    <w:p w:rsidR="00CA41C3" w:rsidRPr="00CA41C3" w:rsidRDefault="004A361A" w:rsidP="00B736A6">
      <w:pPr>
        <w:pStyle w:val="ListParagraph"/>
        <w:numPr>
          <w:ilvl w:val="0"/>
          <w:numId w:val="3"/>
        </w:numPr>
        <w:shd w:val="clear" w:color="auto" w:fill="D9D9D9" w:themeFill="background1" w:themeFillShade="D9"/>
        <w:ind w:left="1080"/>
      </w:pPr>
      <w:r>
        <w:t>Provide a bulleted list</w:t>
      </w:r>
      <w:r w:rsidR="00DC4B0B">
        <w:t xml:space="preserve"> outlining</w:t>
      </w:r>
      <w:r w:rsidR="00B736A6">
        <w:t xml:space="preserve"> research results, data, products, or assistance</w:t>
      </w:r>
      <w:r w:rsidR="00CA41C3" w:rsidRPr="00CA41C3">
        <w:t xml:space="preserve"> that your Aim group needs from another Aim group.</w:t>
      </w:r>
    </w:p>
    <w:p w:rsidR="00CA41C3" w:rsidRDefault="00CA41C3" w:rsidP="003D1EFD">
      <w:pPr>
        <w:ind w:left="720"/>
      </w:pPr>
    </w:p>
    <w:p w:rsidR="000949B9" w:rsidRDefault="00D90404" w:rsidP="0094097D">
      <w:pPr>
        <w:pStyle w:val="ListParagraph"/>
        <w:numPr>
          <w:ilvl w:val="0"/>
          <w:numId w:val="17"/>
        </w:numPr>
        <w:ind w:left="1080"/>
      </w:pPr>
      <w:r>
        <w:t>Reviewers of activities</w:t>
      </w:r>
    </w:p>
    <w:p w:rsidR="00D90404" w:rsidRDefault="00D90404" w:rsidP="0094097D">
      <w:pPr>
        <w:pStyle w:val="ListParagraph"/>
        <w:numPr>
          <w:ilvl w:val="0"/>
          <w:numId w:val="17"/>
        </w:numPr>
        <w:ind w:left="1080"/>
      </w:pPr>
      <w:r>
        <w:t>Designers</w:t>
      </w:r>
      <w:r w:rsidR="0094097D">
        <w:t>/developers</w:t>
      </w:r>
      <w:r>
        <w:t xml:space="preserve"> of activities</w:t>
      </w:r>
    </w:p>
    <w:p w:rsidR="00D90404" w:rsidRDefault="00D90404" w:rsidP="0094097D">
      <w:pPr>
        <w:pStyle w:val="ListParagraph"/>
        <w:numPr>
          <w:ilvl w:val="0"/>
          <w:numId w:val="17"/>
        </w:numPr>
        <w:ind w:left="1080"/>
      </w:pPr>
      <w:r>
        <w:t>Instructors for graduate course</w:t>
      </w:r>
    </w:p>
    <w:p w:rsidR="00D90404" w:rsidRDefault="00D90404" w:rsidP="0094097D">
      <w:pPr>
        <w:pStyle w:val="ListParagraph"/>
        <w:numPr>
          <w:ilvl w:val="0"/>
          <w:numId w:val="17"/>
        </w:numPr>
        <w:ind w:left="1080"/>
      </w:pPr>
      <w:r>
        <w:t>Graduate students to apply for interns</w:t>
      </w:r>
    </w:p>
    <w:p w:rsidR="00D90404" w:rsidRDefault="00D90404" w:rsidP="003D1EFD">
      <w:pPr>
        <w:ind w:left="720"/>
      </w:pPr>
    </w:p>
    <w:p w:rsidR="00CA41C3" w:rsidRPr="00CA41C3" w:rsidRDefault="00CA41C3" w:rsidP="003D1EFD">
      <w:pPr>
        <w:ind w:left="720"/>
      </w:pPr>
    </w:p>
    <w:p w:rsidR="00CA41C3" w:rsidRPr="00CA41C3" w:rsidRDefault="004A361A" w:rsidP="00B736A6">
      <w:pPr>
        <w:pStyle w:val="ListParagraph"/>
        <w:numPr>
          <w:ilvl w:val="0"/>
          <w:numId w:val="3"/>
        </w:numPr>
        <w:shd w:val="clear" w:color="auto" w:fill="D9D9D9" w:themeFill="background1" w:themeFillShade="D9"/>
        <w:ind w:left="1080"/>
      </w:pPr>
      <w:r>
        <w:t xml:space="preserve">Provide a bulleted list </w:t>
      </w:r>
      <w:r w:rsidR="00DC4B0B">
        <w:t>outlining</w:t>
      </w:r>
      <w:r w:rsidR="00B736A6">
        <w:t xml:space="preserve"> research results, </w:t>
      </w:r>
      <w:r w:rsidR="00CA41C3" w:rsidRPr="00CA41C3">
        <w:t>data</w:t>
      </w:r>
      <w:r w:rsidR="00B736A6">
        <w:t>, or products</w:t>
      </w:r>
      <w:r w:rsidR="00CA41C3" w:rsidRPr="00CA41C3">
        <w:t xml:space="preserve"> that your Aim group has compiled </w:t>
      </w:r>
      <w:r w:rsidR="00276F99">
        <w:t>that have</w:t>
      </w:r>
      <w:r w:rsidR="00CA41C3" w:rsidRPr="00CA41C3">
        <w:t xml:space="preserve"> value or relevance to another Aim group (and note which Aim group).</w:t>
      </w:r>
    </w:p>
    <w:p w:rsidR="00CA41C3" w:rsidRDefault="00CA41C3" w:rsidP="003D1EFD">
      <w:pPr>
        <w:ind w:left="720"/>
      </w:pPr>
    </w:p>
    <w:p w:rsidR="000949B9" w:rsidRDefault="000949B9" w:rsidP="003D1EFD">
      <w:pPr>
        <w:ind w:left="720"/>
      </w:pPr>
    </w:p>
    <w:p w:rsidR="00CA41C3" w:rsidRPr="00CA41C3" w:rsidRDefault="00CA41C3" w:rsidP="003D1EFD">
      <w:pPr>
        <w:ind w:left="720"/>
      </w:pPr>
    </w:p>
    <w:p w:rsidR="00CA41C3" w:rsidRDefault="004A361A" w:rsidP="00B736A6">
      <w:pPr>
        <w:pStyle w:val="ListParagraph"/>
        <w:numPr>
          <w:ilvl w:val="0"/>
          <w:numId w:val="3"/>
        </w:numPr>
        <w:shd w:val="clear" w:color="auto" w:fill="D9D9D9" w:themeFill="background1" w:themeFillShade="D9"/>
        <w:ind w:left="1080"/>
      </w:pPr>
      <w:r>
        <w:t xml:space="preserve">List </w:t>
      </w:r>
      <w:r w:rsidR="00CA41C3" w:rsidRPr="00CA41C3">
        <w:t>any additional potential linkages to other Aim groups.</w:t>
      </w:r>
    </w:p>
    <w:p w:rsidR="00F54127" w:rsidRDefault="00F54127" w:rsidP="003D1EFD">
      <w:pPr>
        <w:pStyle w:val="ListParagraph"/>
        <w:shd w:val="clear" w:color="auto" w:fill="FFFFFF" w:themeFill="background1"/>
      </w:pPr>
    </w:p>
    <w:p w:rsidR="00F54127" w:rsidRDefault="00F54127" w:rsidP="003D1EFD">
      <w:pPr>
        <w:pStyle w:val="ListParagraph"/>
        <w:shd w:val="clear" w:color="auto" w:fill="FFFFFF" w:themeFill="background1"/>
      </w:pPr>
    </w:p>
    <w:p w:rsidR="00816CAF" w:rsidRDefault="00816CAF" w:rsidP="003D1EFD">
      <w:pPr>
        <w:pStyle w:val="ListParagraph"/>
        <w:shd w:val="clear" w:color="auto" w:fill="FFFFFF" w:themeFill="background1"/>
      </w:pPr>
    </w:p>
    <w:p w:rsidR="00F54127" w:rsidRDefault="00E572B1" w:rsidP="00F54127">
      <w:pPr>
        <w:shd w:val="clear" w:color="auto" w:fill="FFFFFF" w:themeFill="background1"/>
        <w:rPr>
          <w:b/>
          <w:u w:val="single"/>
        </w:rPr>
      </w:pPr>
      <w:r>
        <w:rPr>
          <w:b/>
          <w:u w:val="single"/>
        </w:rPr>
        <w:t>Leveraged funding/additional r</w:t>
      </w:r>
      <w:r w:rsidR="00F54127">
        <w:rPr>
          <w:b/>
          <w:u w:val="single"/>
        </w:rPr>
        <w:t>esources</w:t>
      </w:r>
    </w:p>
    <w:p w:rsidR="00DC4B0B" w:rsidRDefault="00DC4B0B" w:rsidP="00DC4B0B">
      <w:pPr>
        <w:shd w:val="clear" w:color="auto" w:fill="FFFFFF" w:themeFill="background1"/>
        <w:rPr>
          <w:b/>
          <w:u w:val="single"/>
        </w:rPr>
      </w:pPr>
    </w:p>
    <w:p w:rsidR="00B736A6" w:rsidRDefault="00DC4B0B" w:rsidP="00F54127">
      <w:pPr>
        <w:shd w:val="clear" w:color="auto" w:fill="D9D9D9" w:themeFill="background1" w:themeFillShade="D9"/>
      </w:pPr>
      <w:r>
        <w:t>D</w:t>
      </w:r>
      <w:r w:rsidR="00B736A6">
        <w:t>escribe how PINEMAP funds were leveraged as well as any additional resources obtained. Please list amounts and sources.</w:t>
      </w:r>
    </w:p>
    <w:p w:rsidR="001B5369" w:rsidRDefault="001B5369" w:rsidP="00F54127">
      <w:pPr>
        <w:pStyle w:val="ListParagraph"/>
        <w:shd w:val="clear" w:color="auto" w:fill="FFFFFF" w:themeFill="background1"/>
        <w:ind w:left="0"/>
      </w:pPr>
    </w:p>
    <w:p w:rsidR="00D90404" w:rsidRDefault="00D90404" w:rsidP="00F54127">
      <w:pPr>
        <w:shd w:val="clear" w:color="auto" w:fill="FFFFFF" w:themeFill="background1"/>
      </w:pPr>
      <w:r>
        <w:t xml:space="preserve">Funding for Wendy-Lin to help PINEMAP from McIntyre </w:t>
      </w:r>
      <w:proofErr w:type="spellStart"/>
      <w:r>
        <w:t>Stennis</w:t>
      </w:r>
      <w:proofErr w:type="spellEnd"/>
      <w:r>
        <w:t xml:space="preserve"> (goes in Admin I imagine)</w:t>
      </w:r>
    </w:p>
    <w:p w:rsidR="00D90404" w:rsidRDefault="00D90404" w:rsidP="00F54127">
      <w:pPr>
        <w:shd w:val="clear" w:color="auto" w:fill="FFFFFF" w:themeFill="background1"/>
      </w:pPr>
      <w:r>
        <w:t xml:space="preserve">UF CALS Matching Assistantship for Stephanie Hall ($8,000 in </w:t>
      </w:r>
      <w:r w:rsidR="007B3DDD">
        <w:t xml:space="preserve">2011 and </w:t>
      </w:r>
      <w:r>
        <w:t>2012)</w:t>
      </w:r>
    </w:p>
    <w:p w:rsidR="00D90404" w:rsidRDefault="00D90404" w:rsidP="00F54127">
      <w:pPr>
        <w:shd w:val="clear" w:color="auto" w:fill="FFFFFF" w:themeFill="background1"/>
      </w:pPr>
      <w:r>
        <w:t xml:space="preserve">UF CALS Alumni Fellowship for </w:t>
      </w:r>
      <w:proofErr w:type="spellStart"/>
      <w:r w:rsidR="008F2A58">
        <w:t>Jie</w:t>
      </w:r>
      <w:proofErr w:type="spellEnd"/>
      <w:r w:rsidR="008F2A58">
        <w:t xml:space="preserve"> Li ($22,000 per year for 4 years)</w:t>
      </w:r>
    </w:p>
    <w:p w:rsidR="000949B9" w:rsidRDefault="000949B9" w:rsidP="00F54127">
      <w:pPr>
        <w:shd w:val="clear" w:color="auto" w:fill="FFFFFF" w:themeFill="background1"/>
      </w:pPr>
    </w:p>
    <w:p w:rsidR="00F54127" w:rsidRPr="006F0F21" w:rsidRDefault="00F54127" w:rsidP="00F54127">
      <w:pPr>
        <w:shd w:val="clear" w:color="auto" w:fill="FFFFFF" w:themeFill="background1"/>
        <w:rPr>
          <w:b/>
          <w:color w:val="FF0000"/>
        </w:rPr>
      </w:pPr>
      <w:r>
        <w:rPr>
          <w:b/>
          <w:u w:val="single"/>
        </w:rPr>
        <w:t>Work planned/progress expected</w:t>
      </w:r>
    </w:p>
    <w:p w:rsidR="00F54127" w:rsidRDefault="00F54127" w:rsidP="00F54127">
      <w:pPr>
        <w:shd w:val="clear" w:color="auto" w:fill="FFFFFF" w:themeFill="background1"/>
      </w:pPr>
    </w:p>
    <w:p w:rsidR="00B736A6" w:rsidRDefault="00B736A6" w:rsidP="00F54127">
      <w:pPr>
        <w:shd w:val="clear" w:color="auto" w:fill="D9D9D9" w:themeFill="background1" w:themeFillShade="D9"/>
      </w:pPr>
      <w:r>
        <w:t>Briefly describe a forecast of Aim work planned and progress expected for June-</w:t>
      </w:r>
      <w:r w:rsidR="00DC4B0B">
        <w:t>December</w:t>
      </w:r>
      <w:r>
        <w:t xml:space="preserve"> 2012.</w:t>
      </w:r>
      <w:r w:rsidR="00F54127">
        <w:t xml:space="preserve"> If there are any major changes to the Aim year 2 work </w:t>
      </w:r>
      <w:proofErr w:type="gramStart"/>
      <w:r w:rsidR="00F54127">
        <w:t>plan</w:t>
      </w:r>
      <w:proofErr w:type="gramEnd"/>
      <w:r w:rsidR="00F54127">
        <w:t>, please also explain here.</w:t>
      </w:r>
    </w:p>
    <w:p w:rsidR="000E2101" w:rsidRDefault="000E2101" w:rsidP="00F54127">
      <w:pPr>
        <w:shd w:val="clear" w:color="auto" w:fill="FFFFFF" w:themeFill="background1"/>
      </w:pPr>
    </w:p>
    <w:p w:rsidR="00F54127" w:rsidRDefault="00364781" w:rsidP="00F54127">
      <w:pPr>
        <w:shd w:val="clear" w:color="auto" w:fill="FFFFFF" w:themeFill="background1"/>
      </w:pPr>
      <w:r>
        <w:t xml:space="preserve">Interns will complete summer internships in August before returning to their home universities.  The teaching and communication distance course will be delivered by faculty at Virginia Tech as a semester long, synchronous distance course.  Interns will create and deliver inquiry-based presentations targeting secondary students at public schools and other educational groups.  Pre- and post-internship survey data will be analyzed for initial review.  The internship program will be evaluated and any necessary changes will be made to improve the program.  Announcements for the </w:t>
      </w:r>
      <w:r w:rsidR="004B5BC1">
        <w:t xml:space="preserve">2013 </w:t>
      </w:r>
      <w:r w:rsidR="003E7689">
        <w:t xml:space="preserve">internships and micro-grants will be </w:t>
      </w:r>
      <w:r w:rsidR="00547253">
        <w:t>distributed</w:t>
      </w:r>
      <w:r w:rsidR="003E7689">
        <w:t xml:space="preserve"> in November-December.</w:t>
      </w:r>
    </w:p>
    <w:p w:rsidR="000949B9" w:rsidRDefault="000949B9" w:rsidP="00F54127">
      <w:pPr>
        <w:shd w:val="clear" w:color="auto" w:fill="FFFFFF" w:themeFill="background1"/>
      </w:pPr>
    </w:p>
    <w:p w:rsidR="002C73DF" w:rsidRPr="003D1EFD" w:rsidRDefault="002C73DF" w:rsidP="00F54127">
      <w:pPr>
        <w:shd w:val="clear" w:color="auto" w:fill="FFFFFF" w:themeFill="background1"/>
      </w:pPr>
      <w:r>
        <w:lastRenderedPageBreak/>
        <w:t>The Internship Program will be publicized at the 2012 Ecological Society of America conference in Portland, Oregon with a poster presentation.  This presentation will describe how the internship program works and how PINEMAP is being promoted to the public through educational presentations to teachers and secondary school students in a variety of settings.  Copies of the poster and any other relevant materials can be made available.</w:t>
      </w:r>
    </w:p>
    <w:p w:rsidR="00F54127" w:rsidRDefault="00F54127" w:rsidP="00F54127">
      <w:pPr>
        <w:shd w:val="clear" w:color="auto" w:fill="FFFFFF" w:themeFill="background1"/>
      </w:pPr>
    </w:p>
    <w:p w:rsidR="008F2A58" w:rsidRDefault="008F2A58" w:rsidP="00F54127">
      <w:pPr>
        <w:shd w:val="clear" w:color="auto" w:fill="FFFFFF" w:themeFill="background1"/>
      </w:pPr>
      <w:r>
        <w:t>Three PLT module activities will be pilot tested in July 2012 with the UF CPET students; observations will help improve activities and data collected will be used in Stephanie Hall’s thesis.</w:t>
      </w:r>
    </w:p>
    <w:p w:rsidR="008F2A58" w:rsidRDefault="008F2A58" w:rsidP="00F54127">
      <w:pPr>
        <w:shd w:val="clear" w:color="auto" w:fill="FFFFFF" w:themeFill="background1"/>
      </w:pPr>
    </w:p>
    <w:p w:rsidR="008F2A58" w:rsidRDefault="000E2101" w:rsidP="00F54127">
      <w:pPr>
        <w:shd w:val="clear" w:color="auto" w:fill="FFFFFF" w:themeFill="background1"/>
      </w:pPr>
      <w:r>
        <w:t xml:space="preserve">Seven </w:t>
      </w:r>
      <w:r w:rsidR="008F2A58">
        <w:t xml:space="preserve">existing PLT module activities will be revised and sent to </w:t>
      </w:r>
      <w:r w:rsidR="000A47AD">
        <w:t xml:space="preserve">expert </w:t>
      </w:r>
      <w:r w:rsidR="008F2A58">
        <w:t>reviewers.</w:t>
      </w:r>
      <w:r w:rsidR="000A47AD">
        <w:t xml:space="preserve"> </w:t>
      </w:r>
      <w:r>
        <w:t>F</w:t>
      </w:r>
      <w:r w:rsidR="00E805BE">
        <w:t>ive</w:t>
      </w:r>
      <w:r>
        <w:t xml:space="preserve"> </w:t>
      </w:r>
      <w:r w:rsidR="008F2A58">
        <w:t>new PLT module activities will be developed, reviewed by Advisory Committee, revised, and sent to expert reviewers.</w:t>
      </w:r>
    </w:p>
    <w:p w:rsidR="008F2A58" w:rsidRDefault="008F2A58" w:rsidP="00F54127">
      <w:pPr>
        <w:shd w:val="clear" w:color="auto" w:fill="FFFFFF" w:themeFill="background1"/>
      </w:pPr>
    </w:p>
    <w:p w:rsidR="000E2101" w:rsidRDefault="000E2101" w:rsidP="00F54127">
      <w:pPr>
        <w:shd w:val="clear" w:color="auto" w:fill="FFFFFF" w:themeFill="background1"/>
      </w:pPr>
      <w:r>
        <w:t>Supplemental resources for the module, such as videos</w:t>
      </w:r>
      <w:r w:rsidR="00857863">
        <w:t xml:space="preserve"> and</w:t>
      </w:r>
      <w:r w:rsidR="00DF71E3">
        <w:t xml:space="preserve"> presentations</w:t>
      </w:r>
      <w:r w:rsidR="00857863">
        <w:t xml:space="preserve"> </w:t>
      </w:r>
      <w:r w:rsidR="00DF71E3">
        <w:t xml:space="preserve">will be </w:t>
      </w:r>
      <w:r w:rsidR="00857863">
        <w:t>creat</w:t>
      </w:r>
      <w:r w:rsidR="00DF71E3">
        <w:t>ed</w:t>
      </w:r>
      <w:r w:rsidR="00857863">
        <w:t xml:space="preserve">; ideas for module website will be drafted. </w:t>
      </w:r>
      <w:r w:rsidR="00DF71E3">
        <w:t xml:space="preserve"> </w:t>
      </w:r>
    </w:p>
    <w:p w:rsidR="000A47AD" w:rsidRDefault="000A47AD" w:rsidP="00F54127">
      <w:pPr>
        <w:shd w:val="clear" w:color="auto" w:fill="FFFFFF" w:themeFill="background1"/>
      </w:pPr>
    </w:p>
    <w:p w:rsidR="008F2A58" w:rsidRDefault="008F2A58" w:rsidP="00F54127">
      <w:pPr>
        <w:shd w:val="clear" w:color="auto" w:fill="FFFFFF" w:themeFill="background1"/>
      </w:pPr>
      <w:r>
        <w:t xml:space="preserve">Graduate class will be improved and scheduled for delivery in </w:t>
      </w:r>
      <w:proofErr w:type="gramStart"/>
      <w:r>
        <w:t>Spring</w:t>
      </w:r>
      <w:proofErr w:type="gramEnd"/>
      <w:r>
        <w:t xml:space="preserve"> 2013.</w:t>
      </w:r>
    </w:p>
    <w:p w:rsidR="008F2A58" w:rsidRDefault="008F2A58" w:rsidP="00F54127">
      <w:pPr>
        <w:shd w:val="clear" w:color="auto" w:fill="FFFFFF" w:themeFill="background1"/>
      </w:pPr>
    </w:p>
    <w:p w:rsidR="008F2A58" w:rsidRPr="003D1EFD" w:rsidRDefault="008F2A58" w:rsidP="00F54127">
      <w:pPr>
        <w:shd w:val="clear" w:color="auto" w:fill="FFFFFF" w:themeFill="background1"/>
      </w:pPr>
    </w:p>
    <w:p w:rsidR="00F54127" w:rsidRPr="006F0F21" w:rsidRDefault="00F54127" w:rsidP="00F54127">
      <w:pPr>
        <w:shd w:val="clear" w:color="auto" w:fill="FFFFFF" w:themeFill="background1"/>
        <w:rPr>
          <w:b/>
          <w:color w:val="FF0000"/>
        </w:rPr>
      </w:pPr>
      <w:r w:rsidRPr="00F54127">
        <w:rPr>
          <w:b/>
          <w:u w:val="single"/>
        </w:rPr>
        <w:t>PINEMAP Newsletter</w:t>
      </w:r>
    </w:p>
    <w:p w:rsidR="00F54127" w:rsidRPr="00F54127" w:rsidRDefault="00F54127" w:rsidP="00F54127">
      <w:pPr>
        <w:shd w:val="clear" w:color="auto" w:fill="FFFFFF" w:themeFill="background1"/>
        <w:rPr>
          <w:b/>
          <w:u w:val="single"/>
        </w:rPr>
      </w:pPr>
    </w:p>
    <w:p w:rsidR="004A361A" w:rsidRDefault="004A361A" w:rsidP="00F54127">
      <w:pPr>
        <w:shd w:val="clear" w:color="auto" w:fill="D9D9D9" w:themeFill="background1" w:themeFillShade="D9"/>
      </w:pPr>
      <w:r>
        <w:t xml:space="preserve">The purpose of the </w:t>
      </w:r>
      <w:r w:rsidR="00BD00AD">
        <w:t xml:space="preserve">PINEMAP </w:t>
      </w:r>
      <w:r>
        <w:t>newsletter is to highlight and summarize PINEMAP project u</w:t>
      </w:r>
      <w:r w:rsidR="00DC4B0B">
        <w:t xml:space="preserve">pdates, research results </w:t>
      </w:r>
      <w:r>
        <w:t>and experiments, outputs such as p</w:t>
      </w:r>
      <w:r w:rsidR="00E572B1">
        <w:t>roducts/events/activities, etc. T</w:t>
      </w:r>
      <w:r>
        <w:t xml:space="preserve">he target audience includes </w:t>
      </w:r>
      <w:r w:rsidR="00DC4B0B">
        <w:t xml:space="preserve">the general public, </w:t>
      </w:r>
      <w:r>
        <w:t xml:space="preserve">internal PINEMAP collaborators, stakeholders, NIFA, </w:t>
      </w:r>
      <w:r w:rsidR="00DC4B0B">
        <w:t>and external partners</w:t>
      </w:r>
      <w:r>
        <w:t>. T</w:t>
      </w:r>
      <w:r w:rsidR="00276F99">
        <w:t xml:space="preserve">he </w:t>
      </w:r>
      <w:r w:rsidR="00BD00AD">
        <w:t>anticipated</w:t>
      </w:r>
      <w:r w:rsidR="00276F99">
        <w:t xml:space="preserve"> publication date for the first newsletter is </w:t>
      </w:r>
      <w:r w:rsidR="00DC4B0B">
        <w:t xml:space="preserve">sometime in </w:t>
      </w:r>
      <w:r w:rsidR="00276F99">
        <w:t xml:space="preserve">August </w:t>
      </w:r>
      <w:r w:rsidR="00DC4B0B">
        <w:t>or September 2012</w:t>
      </w:r>
      <w:r w:rsidR="00F54127">
        <w:t xml:space="preserve">. </w:t>
      </w:r>
    </w:p>
    <w:p w:rsidR="004A361A" w:rsidRDefault="004A361A" w:rsidP="00F54127">
      <w:pPr>
        <w:shd w:val="clear" w:color="auto" w:fill="D9D9D9" w:themeFill="background1" w:themeFillShade="D9"/>
      </w:pPr>
    </w:p>
    <w:p w:rsidR="00F54127" w:rsidRDefault="00BD00AD" w:rsidP="00F54127">
      <w:pPr>
        <w:shd w:val="clear" w:color="auto" w:fill="D9D9D9" w:themeFill="background1" w:themeFillShade="D9"/>
      </w:pPr>
      <w:r>
        <w:t>Please identify a topic f</w:t>
      </w:r>
      <w:r w:rsidR="004E77D3">
        <w:t>or a brief (300-500 word</w:t>
      </w:r>
      <w:r>
        <w:t xml:space="preserve">) </w:t>
      </w:r>
      <w:r w:rsidR="004E77D3">
        <w:t>article for the first</w:t>
      </w:r>
      <w:r>
        <w:t xml:space="preserve"> issue of the PINEMAP newsletter. </w:t>
      </w:r>
      <w:r w:rsidR="003D1EFD">
        <w:t>Outline</w:t>
      </w:r>
      <w:r w:rsidR="00F54127">
        <w:t xml:space="preserve"> a preliminary </w:t>
      </w:r>
      <w:r w:rsidR="004A361A">
        <w:t xml:space="preserve">article </w:t>
      </w:r>
      <w:r w:rsidR="00F54127">
        <w:t>title, provide a br</w:t>
      </w:r>
      <w:r w:rsidR="0071299B">
        <w:t xml:space="preserve">ief (3-5 </w:t>
      </w:r>
      <w:proofErr w:type="gramStart"/>
      <w:r w:rsidR="0071299B">
        <w:t>sentence</w:t>
      </w:r>
      <w:proofErr w:type="gramEnd"/>
      <w:r w:rsidR="00276F99">
        <w:t>) summary</w:t>
      </w:r>
      <w:r w:rsidR="003F2C8B">
        <w:t>,</w:t>
      </w:r>
      <w:r w:rsidR="0071299B">
        <w:t xml:space="preserve"> and </w:t>
      </w:r>
      <w:r w:rsidR="00816CAF">
        <w:t xml:space="preserve">list </w:t>
      </w:r>
      <w:r w:rsidR="00276F99">
        <w:t>authors.</w:t>
      </w:r>
      <w:r w:rsidR="00DC4B0B">
        <w:t xml:space="preserve"> </w:t>
      </w:r>
    </w:p>
    <w:p w:rsidR="003D1EFD" w:rsidRDefault="003D1EFD" w:rsidP="003D1EFD">
      <w:pPr>
        <w:shd w:val="clear" w:color="auto" w:fill="FFFFFF" w:themeFill="background1"/>
      </w:pPr>
    </w:p>
    <w:p w:rsidR="00A77214" w:rsidRDefault="00A77214" w:rsidP="003D1EFD">
      <w:pPr>
        <w:shd w:val="clear" w:color="auto" w:fill="FFFFFF" w:themeFill="background1"/>
      </w:pPr>
      <w:r>
        <w:t>Grad course, Ireland and Monroe</w:t>
      </w:r>
    </w:p>
    <w:p w:rsidR="00A77214" w:rsidRDefault="00A77214" w:rsidP="003D1EFD">
      <w:pPr>
        <w:shd w:val="clear" w:color="auto" w:fill="FFFFFF" w:themeFill="background1"/>
      </w:pPr>
    </w:p>
    <w:p w:rsidR="008F2A58" w:rsidRDefault="00DF0D84" w:rsidP="003D1EFD">
      <w:pPr>
        <w:shd w:val="clear" w:color="auto" w:fill="FFFFFF" w:themeFill="background1"/>
      </w:pPr>
      <w:r>
        <w:t>Climate Change and Forests: Educator N</w:t>
      </w:r>
      <w:r w:rsidR="008F2A58">
        <w:t xml:space="preserve">eeds </w:t>
      </w:r>
      <w:r>
        <w:t>A</w:t>
      </w:r>
      <w:r w:rsidR="008F2A58">
        <w:t>ssessment</w:t>
      </w:r>
      <w:r>
        <w:t xml:space="preserve">: Annie </w:t>
      </w:r>
      <w:r w:rsidR="008F2A58">
        <w:t>Oxarart</w:t>
      </w:r>
      <w:r>
        <w:t xml:space="preserve">, Martha </w:t>
      </w:r>
      <w:r w:rsidR="008F2A58">
        <w:t>Monroe</w:t>
      </w:r>
      <w:r>
        <w:t>, and Richard Plate</w:t>
      </w:r>
    </w:p>
    <w:p w:rsidR="005A7E90" w:rsidRDefault="005A7E90" w:rsidP="003D1EFD">
      <w:pPr>
        <w:shd w:val="clear" w:color="auto" w:fill="FFFFFF" w:themeFill="background1"/>
      </w:pPr>
    </w:p>
    <w:p w:rsidR="005A7E90" w:rsidRDefault="005A7E90" w:rsidP="003D1EFD">
      <w:pPr>
        <w:shd w:val="clear" w:color="auto" w:fill="FFFFFF" w:themeFill="background1"/>
      </w:pPr>
    </w:p>
    <w:p w:rsidR="005A7E90" w:rsidRDefault="005A7E90" w:rsidP="003D1EFD">
      <w:pPr>
        <w:shd w:val="clear" w:color="auto" w:fill="FFFFFF" w:themeFill="background1"/>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0A17C4" w:rsidRDefault="000A17C4" w:rsidP="005A7E90">
      <w:pPr>
        <w:jc w:val="center"/>
        <w:rPr>
          <w:b/>
        </w:rPr>
      </w:pPr>
    </w:p>
    <w:p w:rsidR="00E805BE" w:rsidRDefault="00E805BE" w:rsidP="005A7E90">
      <w:pPr>
        <w:jc w:val="center"/>
        <w:rPr>
          <w:b/>
        </w:rPr>
      </w:pPr>
    </w:p>
    <w:p w:rsidR="00E805BE" w:rsidRDefault="00E805BE" w:rsidP="005A7E90">
      <w:pPr>
        <w:jc w:val="center"/>
        <w:rPr>
          <w:b/>
        </w:rPr>
      </w:pPr>
    </w:p>
    <w:p w:rsidR="00E805BE" w:rsidRDefault="00E805BE" w:rsidP="005A7E90">
      <w:pPr>
        <w:jc w:val="center"/>
        <w:rPr>
          <w:b/>
        </w:rPr>
      </w:pPr>
    </w:p>
    <w:p w:rsidR="00E805BE" w:rsidRDefault="00E805BE" w:rsidP="005A7E90">
      <w:pPr>
        <w:jc w:val="center"/>
        <w:rPr>
          <w:b/>
        </w:rPr>
      </w:pPr>
    </w:p>
    <w:p w:rsidR="00E805BE" w:rsidRDefault="00E805BE" w:rsidP="005A7E90">
      <w:pPr>
        <w:jc w:val="center"/>
        <w:rPr>
          <w:b/>
        </w:rPr>
      </w:pPr>
    </w:p>
    <w:p w:rsidR="00E805BE" w:rsidRDefault="00E805BE" w:rsidP="005A7E90">
      <w:pPr>
        <w:jc w:val="center"/>
        <w:rPr>
          <w:b/>
        </w:rPr>
      </w:pPr>
    </w:p>
    <w:p w:rsidR="005A7E90" w:rsidRPr="001474C1" w:rsidRDefault="005A7E90" w:rsidP="005A7E90">
      <w:pPr>
        <w:jc w:val="center"/>
        <w:rPr>
          <w:b/>
        </w:rPr>
      </w:pPr>
      <w:r w:rsidRPr="001474C1">
        <w:rPr>
          <w:b/>
        </w:rPr>
        <w:t>PLT-PINEMAP Secondary Module Activities</w:t>
      </w:r>
    </w:p>
    <w:p w:rsidR="005A7E90" w:rsidRDefault="005A7E90" w:rsidP="005A7E90">
      <w:pPr>
        <w:rPr>
          <w:rFonts w:ascii="Calibri" w:eastAsia="Calibri" w:hAnsi="Calibri" w:cs="Calibri"/>
          <w:color w:val="000000"/>
        </w:rPr>
      </w:pPr>
    </w:p>
    <w:tbl>
      <w:tblPr>
        <w:tblStyle w:val="TableGrid"/>
        <w:tblW w:w="5000" w:type="pct"/>
        <w:tblLook w:val="04A0" w:firstRow="1" w:lastRow="0" w:firstColumn="1" w:lastColumn="0" w:noHBand="0" w:noVBand="1"/>
      </w:tblPr>
      <w:tblGrid>
        <w:gridCol w:w="944"/>
        <w:gridCol w:w="2620"/>
        <w:gridCol w:w="3005"/>
        <w:gridCol w:w="3007"/>
      </w:tblGrid>
      <w:tr w:rsidR="000A17C4" w:rsidRPr="00E805BE" w:rsidTr="000A17C4">
        <w:tc>
          <w:tcPr>
            <w:tcW w:w="5000" w:type="pct"/>
            <w:gridSpan w:val="4"/>
          </w:tcPr>
          <w:p w:rsidR="000A47AD"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 xml:space="preserve">Section 1: Climate Change and Forests. </w:t>
            </w:r>
          </w:p>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Projected climate changes will likely affect forest ecosystems.</w:t>
            </w:r>
          </w:p>
        </w:tc>
      </w:tr>
      <w:tr w:rsidR="000A17C4" w:rsidRPr="00E805BE" w:rsidTr="000A17C4">
        <w:tc>
          <w:tcPr>
            <w:tcW w:w="1861" w:type="pct"/>
            <w:gridSpan w:val="2"/>
          </w:tcPr>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Activity</w:t>
            </w:r>
          </w:p>
        </w:tc>
        <w:tc>
          <w:tcPr>
            <w:tcW w:w="1569" w:type="pct"/>
          </w:tcPr>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Summary</w:t>
            </w:r>
          </w:p>
        </w:tc>
        <w:tc>
          <w:tcPr>
            <w:tcW w:w="1570" w:type="pct"/>
          </w:tcPr>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Status</w:t>
            </w:r>
          </w:p>
        </w:tc>
      </w:tr>
      <w:tr w:rsidR="000A17C4" w:rsidRPr="00E805BE" w:rsidTr="000A17C4">
        <w:tc>
          <w:tcPr>
            <w:tcW w:w="493"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1</w:t>
            </w:r>
          </w:p>
        </w:tc>
        <w:tc>
          <w:tcPr>
            <w:tcW w:w="1368"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Clearing the Air</w:t>
            </w:r>
          </w:p>
        </w:tc>
        <w:tc>
          <w:tcPr>
            <w:tcW w:w="1569"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Students learn about the scientific evidence supporting climate change, use this information to evaluate and improve different climate change conclusions, and participate in a role-play to negotiate solutions.  Through this activity, students explore the nature of science and the various perspectives surrounding climate change.</w:t>
            </w:r>
          </w:p>
        </w:tc>
        <w:tc>
          <w:tcPr>
            <w:tcW w:w="1570" w:type="pct"/>
          </w:tcPr>
          <w:p w:rsidR="000A17C4" w:rsidRPr="00E805BE" w:rsidRDefault="00B72CEA" w:rsidP="005A7E90">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B72CEA" w:rsidRPr="00E805BE" w:rsidRDefault="00B72CEA" w:rsidP="005A7E90">
            <w:pPr>
              <w:rPr>
                <w:rFonts w:eastAsia="Calibri" w:cstheme="minorHAnsi"/>
                <w:color w:val="000000"/>
                <w:sz w:val="18"/>
                <w:szCs w:val="18"/>
              </w:rPr>
            </w:pPr>
          </w:p>
          <w:p w:rsidR="00B72CEA" w:rsidRPr="00E805BE" w:rsidRDefault="00B72CEA" w:rsidP="005A7E90">
            <w:pPr>
              <w:rPr>
                <w:rFonts w:eastAsia="Calibri" w:cstheme="minorHAnsi"/>
                <w:color w:val="000000"/>
                <w:sz w:val="18"/>
                <w:szCs w:val="18"/>
              </w:rPr>
            </w:pPr>
            <w:r w:rsidRPr="00E805BE">
              <w:rPr>
                <w:rFonts w:eastAsia="Calibri" w:cstheme="minorHAnsi"/>
                <w:color w:val="000000"/>
                <w:sz w:val="18"/>
                <w:szCs w:val="18"/>
              </w:rPr>
              <w:t>Pilot tested in July</w:t>
            </w:r>
          </w:p>
        </w:tc>
      </w:tr>
      <w:tr w:rsidR="000A17C4" w:rsidRPr="00E805BE" w:rsidTr="000A17C4">
        <w:tc>
          <w:tcPr>
            <w:tcW w:w="493" w:type="pct"/>
          </w:tcPr>
          <w:p w:rsidR="000A17C4" w:rsidRPr="00E805BE" w:rsidRDefault="000A47AD" w:rsidP="005A7E90">
            <w:pPr>
              <w:rPr>
                <w:rFonts w:eastAsia="Calibri" w:cstheme="minorHAnsi"/>
                <w:color w:val="000000"/>
                <w:sz w:val="18"/>
                <w:szCs w:val="18"/>
              </w:rPr>
            </w:pPr>
            <w:r w:rsidRPr="00E805BE">
              <w:rPr>
                <w:rFonts w:eastAsia="Calibri" w:cstheme="minorHAnsi"/>
                <w:color w:val="000000"/>
                <w:sz w:val="18"/>
                <w:szCs w:val="18"/>
              </w:rPr>
              <w:t>2</w:t>
            </w:r>
          </w:p>
        </w:tc>
        <w:tc>
          <w:tcPr>
            <w:tcW w:w="1368"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The Changing Forests</w:t>
            </w:r>
          </w:p>
        </w:tc>
        <w:tc>
          <w:tcPr>
            <w:tcW w:w="1569"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In small groups, students learn about research that is exploring climate change impacts on southeastern forests. This information will help forest managers monitor and respond to changes using new tools and management techniques.</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A17C4" w:rsidRPr="00E805BE" w:rsidRDefault="000A17C4" w:rsidP="005A7E90">
            <w:pPr>
              <w:rPr>
                <w:rFonts w:eastAsia="Calibri" w:cstheme="minorHAnsi"/>
                <w:color w:val="000000"/>
                <w:sz w:val="18"/>
                <w:szCs w:val="18"/>
              </w:rPr>
            </w:pPr>
          </w:p>
        </w:tc>
      </w:tr>
      <w:tr w:rsidR="000A17C4" w:rsidRPr="00E805BE" w:rsidTr="000A17C4">
        <w:tc>
          <w:tcPr>
            <w:tcW w:w="493" w:type="pct"/>
          </w:tcPr>
          <w:p w:rsidR="000A17C4" w:rsidRPr="00E805BE" w:rsidRDefault="000A47AD" w:rsidP="005A7E90">
            <w:pPr>
              <w:rPr>
                <w:rFonts w:eastAsia="Calibri" w:cstheme="minorHAnsi"/>
                <w:color w:val="000000"/>
                <w:sz w:val="18"/>
                <w:szCs w:val="18"/>
              </w:rPr>
            </w:pPr>
            <w:r w:rsidRPr="00E805BE">
              <w:rPr>
                <w:rFonts w:eastAsia="Calibri" w:cstheme="minorHAnsi"/>
                <w:color w:val="000000"/>
                <w:sz w:val="18"/>
                <w:szCs w:val="18"/>
              </w:rPr>
              <w:t>3</w:t>
            </w:r>
          </w:p>
        </w:tc>
        <w:tc>
          <w:tcPr>
            <w:tcW w:w="1368"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Tree and Bird Atlas</w:t>
            </w:r>
          </w:p>
        </w:tc>
        <w:tc>
          <w:tcPr>
            <w:tcW w:w="1569" w:type="pct"/>
          </w:tcPr>
          <w:p w:rsidR="000A17C4" w:rsidRPr="00E805BE" w:rsidRDefault="000A17C4" w:rsidP="005A7E90">
            <w:pPr>
              <w:rPr>
                <w:rFonts w:eastAsia="Calibri" w:cstheme="minorHAnsi"/>
                <w:color w:val="000000"/>
                <w:sz w:val="18"/>
                <w:szCs w:val="18"/>
              </w:rPr>
            </w:pPr>
            <w:r w:rsidRPr="00E805BE">
              <w:rPr>
                <w:rFonts w:eastAsia="Calibri" w:cstheme="minorHAnsi"/>
                <w:color w:val="000000"/>
                <w:sz w:val="18"/>
                <w:szCs w:val="18"/>
              </w:rPr>
              <w:t>By using the USFS Climate Change Tree and Bird Atlas, students will explore the effects of climate change on the future distributions of tree and bird species.</w:t>
            </w:r>
          </w:p>
        </w:tc>
        <w:tc>
          <w:tcPr>
            <w:tcW w:w="1570" w:type="pct"/>
          </w:tcPr>
          <w:p w:rsidR="00E805BE" w:rsidRPr="00E805BE" w:rsidRDefault="00E805BE" w:rsidP="005A7E90">
            <w:pPr>
              <w:rPr>
                <w:rFonts w:eastAsia="Calibri" w:cstheme="minorHAnsi"/>
                <w:color w:val="000000"/>
                <w:sz w:val="18"/>
                <w:szCs w:val="18"/>
              </w:rPr>
            </w:pPr>
            <w:r w:rsidRPr="00E805BE">
              <w:rPr>
                <w:rFonts w:eastAsia="Calibri" w:cstheme="minorHAnsi"/>
                <w:color w:val="000000"/>
                <w:sz w:val="18"/>
                <w:szCs w:val="18"/>
              </w:rPr>
              <w:t>Concept developed</w:t>
            </w:r>
          </w:p>
          <w:p w:rsidR="00E805BE" w:rsidRPr="00E805BE" w:rsidRDefault="00E805BE" w:rsidP="005A7E90">
            <w:pPr>
              <w:rPr>
                <w:rFonts w:eastAsia="Calibri" w:cstheme="minorHAnsi"/>
                <w:color w:val="000000"/>
                <w:sz w:val="18"/>
                <w:szCs w:val="18"/>
              </w:rPr>
            </w:pPr>
          </w:p>
          <w:p w:rsidR="000A17C4" w:rsidRPr="00E805BE" w:rsidRDefault="00E805BE" w:rsidP="00E805BE">
            <w:pPr>
              <w:rPr>
                <w:rFonts w:eastAsia="Calibri" w:cstheme="minorHAnsi"/>
                <w:color w:val="000000"/>
                <w:sz w:val="18"/>
                <w:szCs w:val="18"/>
              </w:rPr>
            </w:pPr>
            <w:r w:rsidRPr="00E805BE">
              <w:rPr>
                <w:rFonts w:eastAsia="Calibri" w:cstheme="minorHAnsi"/>
                <w:color w:val="000000"/>
                <w:sz w:val="18"/>
                <w:szCs w:val="18"/>
              </w:rPr>
              <w:t xml:space="preserve">Working with </w:t>
            </w:r>
            <w:r w:rsidR="00B72CEA" w:rsidRPr="00E805BE">
              <w:rPr>
                <w:rFonts w:eastAsia="Calibri" w:cstheme="minorHAnsi"/>
                <w:color w:val="000000"/>
                <w:sz w:val="18"/>
                <w:szCs w:val="18"/>
              </w:rPr>
              <w:t>USFS staff</w:t>
            </w:r>
            <w:r w:rsidRPr="00E805BE">
              <w:rPr>
                <w:rFonts w:eastAsia="Calibri" w:cstheme="minorHAnsi"/>
                <w:color w:val="000000"/>
                <w:sz w:val="18"/>
                <w:szCs w:val="18"/>
              </w:rPr>
              <w:t xml:space="preserve"> to draft activity</w:t>
            </w:r>
          </w:p>
        </w:tc>
      </w:tr>
      <w:tr w:rsidR="000A17C4" w:rsidRPr="00E805BE" w:rsidTr="000A17C4">
        <w:tc>
          <w:tcPr>
            <w:tcW w:w="5000" w:type="pct"/>
            <w:gridSpan w:val="4"/>
          </w:tcPr>
          <w:p w:rsidR="000A47AD"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 xml:space="preserve">Section 2: </w:t>
            </w:r>
          </w:p>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Forest Management and Adaptation. Forests can be managed to thrive in a changing climate.</w:t>
            </w:r>
          </w:p>
        </w:tc>
      </w:tr>
      <w:tr w:rsidR="000A17C4" w:rsidRPr="00E805BE" w:rsidTr="000A17C4">
        <w:tc>
          <w:tcPr>
            <w:tcW w:w="1861" w:type="pct"/>
            <w:gridSpan w:val="2"/>
          </w:tcPr>
          <w:p w:rsidR="000A17C4" w:rsidRPr="00E805BE" w:rsidRDefault="000A17C4" w:rsidP="000A17C4">
            <w:pPr>
              <w:rPr>
                <w:rFonts w:eastAsia="Calibri" w:cstheme="minorHAnsi"/>
                <w:b/>
                <w:color w:val="000000"/>
                <w:sz w:val="18"/>
                <w:szCs w:val="18"/>
              </w:rPr>
            </w:pPr>
            <w:r w:rsidRPr="00E805BE">
              <w:rPr>
                <w:rFonts w:eastAsia="Calibri" w:cstheme="minorHAnsi"/>
                <w:b/>
                <w:color w:val="000000"/>
                <w:sz w:val="18"/>
                <w:szCs w:val="18"/>
              </w:rPr>
              <w:t>Activity</w:t>
            </w:r>
          </w:p>
        </w:tc>
        <w:tc>
          <w:tcPr>
            <w:tcW w:w="1569" w:type="pct"/>
          </w:tcPr>
          <w:p w:rsidR="000A17C4" w:rsidRPr="00E805BE" w:rsidRDefault="000A17C4" w:rsidP="000A17C4">
            <w:pPr>
              <w:rPr>
                <w:rFonts w:eastAsia="Calibri" w:cstheme="minorHAnsi"/>
                <w:b/>
                <w:color w:val="000000"/>
                <w:sz w:val="18"/>
                <w:szCs w:val="18"/>
              </w:rPr>
            </w:pPr>
            <w:r w:rsidRPr="00E805BE">
              <w:rPr>
                <w:rFonts w:eastAsia="Calibri" w:cstheme="minorHAnsi"/>
                <w:b/>
                <w:color w:val="000000"/>
                <w:sz w:val="18"/>
                <w:szCs w:val="18"/>
              </w:rPr>
              <w:t xml:space="preserve">Summary </w:t>
            </w:r>
          </w:p>
        </w:tc>
        <w:tc>
          <w:tcPr>
            <w:tcW w:w="1570" w:type="pct"/>
          </w:tcPr>
          <w:p w:rsidR="000A17C4" w:rsidRPr="00E805BE" w:rsidRDefault="000A17C4" w:rsidP="005A7E90">
            <w:pPr>
              <w:rPr>
                <w:rFonts w:eastAsia="Calibri" w:cstheme="minorHAnsi"/>
                <w:b/>
                <w:color w:val="000000"/>
                <w:sz w:val="18"/>
                <w:szCs w:val="18"/>
              </w:rPr>
            </w:pPr>
            <w:r w:rsidRPr="00E805BE">
              <w:rPr>
                <w:rFonts w:eastAsia="Calibri" w:cstheme="minorHAnsi"/>
                <w:b/>
                <w:color w:val="000000"/>
                <w:sz w:val="18"/>
                <w:szCs w:val="18"/>
              </w:rPr>
              <w:t>Status</w:t>
            </w:r>
          </w:p>
        </w:tc>
      </w:tr>
      <w:tr w:rsidR="000A17C4" w:rsidRPr="00E805BE" w:rsidTr="000A17C4">
        <w:tc>
          <w:tcPr>
            <w:tcW w:w="493" w:type="pct"/>
          </w:tcPr>
          <w:p w:rsidR="000A17C4" w:rsidRPr="00E805BE" w:rsidRDefault="000A47AD" w:rsidP="000A17C4">
            <w:pPr>
              <w:rPr>
                <w:rFonts w:eastAsia="Calibri" w:cstheme="minorHAnsi"/>
                <w:color w:val="000000"/>
                <w:sz w:val="18"/>
                <w:szCs w:val="18"/>
              </w:rPr>
            </w:pPr>
            <w:r w:rsidRPr="00E805BE">
              <w:rPr>
                <w:rFonts w:eastAsia="Calibri" w:cstheme="minorHAnsi"/>
                <w:color w:val="000000"/>
                <w:sz w:val="18"/>
                <w:szCs w:val="18"/>
              </w:rPr>
              <w:t>4</w:t>
            </w:r>
          </w:p>
        </w:tc>
        <w:tc>
          <w:tcPr>
            <w:tcW w:w="1368" w:type="pct"/>
          </w:tcPr>
          <w:p w:rsidR="000A17C4" w:rsidRPr="00E805BE" w:rsidRDefault="000A17C4" w:rsidP="000A17C4">
            <w:pPr>
              <w:rPr>
                <w:rFonts w:eastAsia="Calibri" w:cstheme="minorHAnsi"/>
                <w:color w:val="000000"/>
                <w:sz w:val="18"/>
                <w:szCs w:val="18"/>
              </w:rPr>
            </w:pPr>
            <w:r w:rsidRPr="00E805BE">
              <w:rPr>
                <w:rFonts w:cstheme="minorHAnsi"/>
                <w:sz w:val="18"/>
                <w:szCs w:val="18"/>
              </w:rPr>
              <w:t>Managing Forests; Making Choices</w:t>
            </w:r>
          </w:p>
        </w:tc>
        <w:tc>
          <w:tcPr>
            <w:tcW w:w="1569" w:type="pct"/>
          </w:tcPr>
          <w:p w:rsidR="000A17C4" w:rsidRPr="00E805BE" w:rsidRDefault="000A17C4" w:rsidP="000A17C4">
            <w:pPr>
              <w:rPr>
                <w:rFonts w:eastAsia="Calibri" w:cstheme="minorHAnsi"/>
                <w:color w:val="000000"/>
                <w:sz w:val="18"/>
                <w:szCs w:val="18"/>
              </w:rPr>
            </w:pPr>
            <w:r w:rsidRPr="00E805BE">
              <w:rPr>
                <w:rFonts w:cstheme="minorHAnsi"/>
                <w:sz w:val="18"/>
                <w:szCs w:val="18"/>
              </w:rPr>
              <w:t>Students will learn about forest ownership and management in the Southeast, and use an online program, TACCIMO, to determine which strategies landowners could use to effectively meet management objectives, given climate factors and projections.</w:t>
            </w:r>
          </w:p>
        </w:tc>
        <w:tc>
          <w:tcPr>
            <w:tcW w:w="1570" w:type="pct"/>
          </w:tcPr>
          <w:p w:rsidR="000A17C4" w:rsidRPr="00E805BE" w:rsidRDefault="00E805BE" w:rsidP="005A7E90">
            <w:pPr>
              <w:rPr>
                <w:rFonts w:eastAsia="Calibri" w:cstheme="minorHAnsi"/>
                <w:color w:val="000000"/>
                <w:sz w:val="18"/>
                <w:szCs w:val="18"/>
              </w:rPr>
            </w:pPr>
            <w:r w:rsidRPr="00E805BE">
              <w:rPr>
                <w:rFonts w:eastAsia="Calibri" w:cstheme="minorHAnsi"/>
                <w:color w:val="000000"/>
                <w:sz w:val="18"/>
                <w:szCs w:val="18"/>
              </w:rPr>
              <w:t>Need to develop concept</w:t>
            </w:r>
          </w:p>
        </w:tc>
      </w:tr>
      <w:tr w:rsidR="000A17C4" w:rsidRPr="00E805BE" w:rsidTr="000A17C4">
        <w:tc>
          <w:tcPr>
            <w:tcW w:w="493" w:type="pct"/>
          </w:tcPr>
          <w:p w:rsidR="000A17C4" w:rsidRPr="00E805BE" w:rsidRDefault="000A47AD" w:rsidP="000A17C4">
            <w:pPr>
              <w:rPr>
                <w:rFonts w:eastAsia="Calibri" w:cstheme="minorHAnsi"/>
                <w:color w:val="000000"/>
                <w:sz w:val="18"/>
                <w:szCs w:val="18"/>
              </w:rPr>
            </w:pPr>
            <w:r w:rsidRPr="00E805BE">
              <w:rPr>
                <w:rFonts w:eastAsia="Calibri" w:cstheme="minorHAnsi"/>
                <w:color w:val="000000"/>
                <w:sz w:val="18"/>
                <w:szCs w:val="18"/>
              </w:rPr>
              <w:lastRenderedPageBreak/>
              <w:t>5</w:t>
            </w:r>
          </w:p>
        </w:tc>
        <w:tc>
          <w:tcPr>
            <w:tcW w:w="1368" w:type="pct"/>
          </w:tcPr>
          <w:p w:rsidR="000A17C4" w:rsidRPr="00E805BE" w:rsidRDefault="000A17C4" w:rsidP="000A17C4">
            <w:pPr>
              <w:rPr>
                <w:rFonts w:eastAsia="Calibri" w:cstheme="minorHAnsi"/>
                <w:color w:val="000000"/>
                <w:sz w:val="18"/>
                <w:szCs w:val="18"/>
              </w:rPr>
            </w:pPr>
            <w:r w:rsidRPr="00E805BE">
              <w:rPr>
                <w:rFonts w:cstheme="minorHAnsi"/>
                <w:sz w:val="18"/>
                <w:szCs w:val="18"/>
              </w:rPr>
              <w:t>Mapping Seed Sources</w:t>
            </w:r>
          </w:p>
        </w:tc>
        <w:tc>
          <w:tcPr>
            <w:tcW w:w="1569" w:type="pct"/>
          </w:tcPr>
          <w:p w:rsidR="000A17C4" w:rsidRPr="00E805BE" w:rsidRDefault="000A17C4" w:rsidP="000A17C4">
            <w:pPr>
              <w:rPr>
                <w:rFonts w:eastAsia="Calibri" w:cstheme="minorHAnsi"/>
                <w:color w:val="000000"/>
                <w:sz w:val="18"/>
                <w:szCs w:val="18"/>
              </w:rPr>
            </w:pPr>
            <w:r w:rsidRPr="00E805BE">
              <w:rPr>
                <w:rFonts w:cstheme="minorHAnsi"/>
                <w:sz w:val="18"/>
                <w:szCs w:val="18"/>
              </w:rPr>
              <w:t xml:space="preserve">In Part A of this activity, students will “map” rainfall, growth rates, and fusiform rust outbreaks to discover patterns controlled by genes in two distinct </w:t>
            </w:r>
            <w:proofErr w:type="spellStart"/>
            <w:r w:rsidRPr="00E805BE">
              <w:rPr>
                <w:rFonts w:cstheme="minorHAnsi"/>
                <w:sz w:val="18"/>
                <w:szCs w:val="18"/>
              </w:rPr>
              <w:t>metapopulations</w:t>
            </w:r>
            <w:proofErr w:type="spellEnd"/>
            <w:r w:rsidRPr="00E805BE">
              <w:rPr>
                <w:rFonts w:cstheme="minorHAnsi"/>
                <w:sz w:val="18"/>
                <w:szCs w:val="18"/>
              </w:rPr>
              <w:t xml:space="preserve"> of loblolly pine. In part B, students predict how different genotypes would perform (survival and growth rates) at each location, given climate projections.</w:t>
            </w:r>
          </w:p>
        </w:tc>
        <w:tc>
          <w:tcPr>
            <w:tcW w:w="1570" w:type="pct"/>
          </w:tcPr>
          <w:p w:rsidR="000A17C4" w:rsidRPr="00E805BE" w:rsidRDefault="00B72CEA" w:rsidP="005A7E90">
            <w:pPr>
              <w:rPr>
                <w:rFonts w:eastAsia="Calibri" w:cstheme="minorHAnsi"/>
                <w:color w:val="000000"/>
                <w:sz w:val="18"/>
                <w:szCs w:val="18"/>
              </w:rPr>
            </w:pPr>
            <w:r w:rsidRPr="00E805BE">
              <w:rPr>
                <w:rFonts w:eastAsia="Calibri" w:cstheme="minorHAnsi"/>
                <w:color w:val="000000"/>
                <w:sz w:val="18"/>
                <w:szCs w:val="18"/>
              </w:rPr>
              <w:t>In development</w:t>
            </w:r>
          </w:p>
        </w:tc>
      </w:tr>
      <w:tr w:rsidR="00006D6F" w:rsidRPr="00E805BE" w:rsidTr="00006D6F">
        <w:tc>
          <w:tcPr>
            <w:tcW w:w="5000" w:type="pct"/>
            <w:gridSpan w:val="4"/>
          </w:tcPr>
          <w:p w:rsidR="000A47AD" w:rsidRPr="00E805BE" w:rsidRDefault="00006D6F" w:rsidP="005A7E90">
            <w:pPr>
              <w:rPr>
                <w:rFonts w:cstheme="minorHAnsi"/>
                <w:b/>
                <w:sz w:val="18"/>
                <w:szCs w:val="18"/>
              </w:rPr>
            </w:pPr>
            <w:r w:rsidRPr="00E805BE">
              <w:rPr>
                <w:rFonts w:cstheme="minorHAnsi"/>
                <w:b/>
                <w:sz w:val="18"/>
                <w:szCs w:val="18"/>
              </w:rPr>
              <w:t xml:space="preserve">Section 3: Carbon Sequestration. </w:t>
            </w:r>
          </w:p>
          <w:p w:rsidR="00006D6F" w:rsidRPr="00E805BE" w:rsidRDefault="00006D6F" w:rsidP="005A7E90">
            <w:pPr>
              <w:rPr>
                <w:rFonts w:eastAsia="Calibri" w:cstheme="minorHAnsi"/>
                <w:b/>
                <w:color w:val="000000"/>
                <w:sz w:val="18"/>
                <w:szCs w:val="18"/>
              </w:rPr>
            </w:pPr>
            <w:r w:rsidRPr="00E805BE">
              <w:rPr>
                <w:rFonts w:cstheme="minorHAnsi"/>
                <w:b/>
                <w:sz w:val="18"/>
                <w:szCs w:val="18"/>
              </w:rPr>
              <w:t>Forests can be managed to reduce atmospheric greenhouse gas and to prevent greenhouse gas emissions.</w:t>
            </w:r>
          </w:p>
        </w:tc>
      </w:tr>
      <w:tr w:rsidR="00006D6F" w:rsidRPr="00E805BE" w:rsidTr="00006D6F">
        <w:tc>
          <w:tcPr>
            <w:tcW w:w="1861" w:type="pct"/>
            <w:gridSpan w:val="2"/>
          </w:tcPr>
          <w:p w:rsidR="00006D6F" w:rsidRPr="00E805BE" w:rsidRDefault="00006D6F" w:rsidP="000A17C4">
            <w:pPr>
              <w:rPr>
                <w:rFonts w:cstheme="minorHAnsi"/>
                <w:b/>
                <w:sz w:val="18"/>
                <w:szCs w:val="18"/>
              </w:rPr>
            </w:pPr>
            <w:r w:rsidRPr="00E805BE">
              <w:rPr>
                <w:rFonts w:cstheme="minorHAnsi"/>
                <w:b/>
                <w:sz w:val="18"/>
                <w:szCs w:val="18"/>
              </w:rPr>
              <w:t>Activity</w:t>
            </w:r>
          </w:p>
        </w:tc>
        <w:tc>
          <w:tcPr>
            <w:tcW w:w="1569" w:type="pct"/>
          </w:tcPr>
          <w:p w:rsidR="00006D6F" w:rsidRPr="00E805BE" w:rsidRDefault="00006D6F" w:rsidP="000A17C4">
            <w:pPr>
              <w:rPr>
                <w:rFonts w:cstheme="minorHAnsi"/>
                <w:b/>
                <w:sz w:val="18"/>
                <w:szCs w:val="18"/>
              </w:rPr>
            </w:pPr>
            <w:r w:rsidRPr="00E805BE">
              <w:rPr>
                <w:rFonts w:cstheme="minorHAnsi"/>
                <w:b/>
                <w:sz w:val="18"/>
                <w:szCs w:val="18"/>
              </w:rPr>
              <w:t>Summary</w:t>
            </w:r>
          </w:p>
        </w:tc>
        <w:tc>
          <w:tcPr>
            <w:tcW w:w="1570" w:type="pct"/>
          </w:tcPr>
          <w:p w:rsidR="00006D6F" w:rsidRPr="00E805BE" w:rsidRDefault="00006D6F" w:rsidP="005A7E90">
            <w:pPr>
              <w:rPr>
                <w:rFonts w:eastAsia="Calibri" w:cstheme="minorHAnsi"/>
                <w:b/>
                <w:color w:val="000000"/>
                <w:sz w:val="18"/>
                <w:szCs w:val="18"/>
              </w:rPr>
            </w:pPr>
            <w:r w:rsidRPr="00E805BE">
              <w:rPr>
                <w:rFonts w:eastAsia="Calibri" w:cstheme="minorHAnsi"/>
                <w:b/>
                <w:color w:val="000000"/>
                <w:sz w:val="18"/>
                <w:szCs w:val="18"/>
              </w:rPr>
              <w:t>Status</w:t>
            </w:r>
          </w:p>
        </w:tc>
      </w:tr>
      <w:tr w:rsidR="000A17C4" w:rsidRPr="00E805BE" w:rsidTr="000A17C4">
        <w:tc>
          <w:tcPr>
            <w:tcW w:w="493" w:type="pct"/>
          </w:tcPr>
          <w:p w:rsidR="000A17C4" w:rsidRPr="00E805BE" w:rsidRDefault="000A47AD" w:rsidP="000A17C4">
            <w:pPr>
              <w:rPr>
                <w:rFonts w:eastAsia="Calibri" w:cstheme="minorHAnsi"/>
                <w:color w:val="000000"/>
                <w:sz w:val="18"/>
                <w:szCs w:val="18"/>
              </w:rPr>
            </w:pPr>
            <w:r w:rsidRPr="00E805BE">
              <w:rPr>
                <w:rFonts w:eastAsia="Calibri" w:cstheme="minorHAnsi"/>
                <w:color w:val="000000"/>
                <w:sz w:val="18"/>
                <w:szCs w:val="18"/>
              </w:rPr>
              <w:t>6</w:t>
            </w:r>
          </w:p>
        </w:tc>
        <w:tc>
          <w:tcPr>
            <w:tcW w:w="1368" w:type="pct"/>
          </w:tcPr>
          <w:p w:rsidR="000A17C4" w:rsidRPr="00E805BE" w:rsidRDefault="000A17C4" w:rsidP="000A17C4">
            <w:pPr>
              <w:rPr>
                <w:rFonts w:eastAsia="Calibri" w:cstheme="minorHAnsi"/>
                <w:color w:val="000000"/>
                <w:sz w:val="18"/>
                <w:szCs w:val="18"/>
              </w:rPr>
            </w:pPr>
            <w:r w:rsidRPr="00E805BE">
              <w:rPr>
                <w:rFonts w:cstheme="minorHAnsi"/>
                <w:sz w:val="18"/>
                <w:szCs w:val="18"/>
              </w:rPr>
              <w:t>Carbon on the Move</w:t>
            </w:r>
          </w:p>
        </w:tc>
        <w:tc>
          <w:tcPr>
            <w:tcW w:w="1569" w:type="pct"/>
          </w:tcPr>
          <w:p w:rsidR="000A17C4" w:rsidRPr="00E805BE" w:rsidRDefault="000A17C4" w:rsidP="000A17C4">
            <w:pPr>
              <w:rPr>
                <w:rFonts w:eastAsia="Calibri" w:cstheme="minorHAnsi"/>
                <w:color w:val="000000"/>
                <w:sz w:val="18"/>
                <w:szCs w:val="18"/>
              </w:rPr>
            </w:pPr>
            <w:r w:rsidRPr="00E805BE">
              <w:rPr>
                <w:rFonts w:cstheme="minorHAnsi"/>
                <w:sz w:val="18"/>
                <w:szCs w:val="18"/>
              </w:rPr>
              <w:t>By becoming a carbon atom, students learn how carbon cycles through biological and physical systems. Group work and class discussions allow students to better understand global carbon pools, quantities, fluxes, and residence time—with an emphasis on how human activities can affect the cycle.</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A17C4" w:rsidRPr="00E805BE" w:rsidRDefault="000A17C4" w:rsidP="005A7E90">
            <w:pPr>
              <w:rPr>
                <w:rFonts w:eastAsia="Calibri" w:cstheme="minorHAnsi"/>
                <w:color w:val="000000"/>
                <w:sz w:val="18"/>
                <w:szCs w:val="18"/>
              </w:rPr>
            </w:pPr>
          </w:p>
          <w:p w:rsidR="00B72CEA" w:rsidRPr="00E805BE" w:rsidRDefault="00B72CEA" w:rsidP="005A7E90">
            <w:pPr>
              <w:rPr>
                <w:rFonts w:eastAsia="Calibri" w:cstheme="minorHAnsi"/>
                <w:color w:val="000000"/>
                <w:sz w:val="18"/>
                <w:szCs w:val="18"/>
              </w:rPr>
            </w:pPr>
            <w:r w:rsidRPr="00E805BE">
              <w:rPr>
                <w:rFonts w:eastAsia="Calibri" w:cstheme="minorHAnsi"/>
                <w:color w:val="000000"/>
                <w:sz w:val="18"/>
                <w:szCs w:val="18"/>
              </w:rPr>
              <w:t>Pilot tested in July</w:t>
            </w:r>
          </w:p>
        </w:tc>
      </w:tr>
      <w:tr w:rsidR="000A17C4" w:rsidRPr="00E805BE" w:rsidTr="000A17C4">
        <w:tc>
          <w:tcPr>
            <w:tcW w:w="493" w:type="pct"/>
          </w:tcPr>
          <w:p w:rsidR="000A17C4" w:rsidRPr="00E805BE" w:rsidRDefault="000A47AD" w:rsidP="000A17C4">
            <w:pPr>
              <w:rPr>
                <w:rFonts w:eastAsia="Calibri" w:cstheme="minorHAnsi"/>
                <w:color w:val="000000"/>
                <w:sz w:val="18"/>
                <w:szCs w:val="18"/>
              </w:rPr>
            </w:pPr>
            <w:r w:rsidRPr="00E805BE">
              <w:rPr>
                <w:rFonts w:eastAsia="Calibri" w:cstheme="minorHAnsi"/>
                <w:color w:val="000000"/>
                <w:sz w:val="18"/>
                <w:szCs w:val="18"/>
              </w:rPr>
              <w:t>7</w:t>
            </w:r>
          </w:p>
        </w:tc>
        <w:tc>
          <w:tcPr>
            <w:tcW w:w="1368" w:type="pct"/>
          </w:tcPr>
          <w:p w:rsidR="000A17C4" w:rsidRPr="00E805BE" w:rsidRDefault="00006D6F" w:rsidP="000A17C4">
            <w:pPr>
              <w:rPr>
                <w:rFonts w:cstheme="minorHAnsi"/>
                <w:sz w:val="18"/>
                <w:szCs w:val="18"/>
              </w:rPr>
            </w:pPr>
            <w:r w:rsidRPr="00E805BE">
              <w:rPr>
                <w:rFonts w:cstheme="minorHAnsi"/>
                <w:sz w:val="18"/>
                <w:szCs w:val="18"/>
              </w:rPr>
              <w:t>Counting the Carbon</w:t>
            </w:r>
          </w:p>
        </w:tc>
        <w:tc>
          <w:tcPr>
            <w:tcW w:w="1569" w:type="pct"/>
          </w:tcPr>
          <w:p w:rsidR="000A17C4" w:rsidRPr="00E805BE" w:rsidRDefault="00006D6F" w:rsidP="000A17C4">
            <w:pPr>
              <w:rPr>
                <w:rFonts w:cstheme="minorHAnsi"/>
                <w:sz w:val="18"/>
                <w:szCs w:val="18"/>
              </w:rPr>
            </w:pPr>
            <w:r w:rsidRPr="00E805BE">
              <w:rPr>
                <w:rFonts w:cstheme="minorHAnsi"/>
                <w:sz w:val="18"/>
                <w:szCs w:val="18"/>
              </w:rPr>
              <w:t>Students measure trees in their schoolyard or in a nearby forest and calculate the amount of carbon stored in individual trees. Students then compare carbon sequestration potential for land-use types in their state, and put this in perspective by comparing it to the amount of carbon released by human activities.</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A17C4" w:rsidRPr="00E805BE" w:rsidRDefault="000A17C4" w:rsidP="005A7E90">
            <w:pPr>
              <w:rPr>
                <w:rFonts w:eastAsia="Calibri" w:cstheme="minorHAnsi"/>
                <w:color w:val="000000"/>
                <w:sz w:val="18"/>
                <w:szCs w:val="18"/>
              </w:rPr>
            </w:pPr>
          </w:p>
          <w:p w:rsidR="00B72CEA" w:rsidRPr="00E805BE" w:rsidRDefault="00B72CEA" w:rsidP="005A7E90">
            <w:pPr>
              <w:rPr>
                <w:rFonts w:eastAsia="Calibri" w:cstheme="minorHAnsi"/>
                <w:color w:val="000000"/>
                <w:sz w:val="18"/>
                <w:szCs w:val="18"/>
              </w:rPr>
            </w:pPr>
            <w:r w:rsidRPr="00E805BE">
              <w:rPr>
                <w:rFonts w:eastAsia="Calibri" w:cstheme="minorHAnsi"/>
                <w:color w:val="000000"/>
                <w:sz w:val="18"/>
                <w:szCs w:val="18"/>
              </w:rPr>
              <w:t>Pilot tested in July</w:t>
            </w:r>
          </w:p>
        </w:tc>
      </w:tr>
      <w:tr w:rsidR="00006D6F" w:rsidRPr="00E805BE" w:rsidTr="00006D6F">
        <w:tc>
          <w:tcPr>
            <w:tcW w:w="5000" w:type="pct"/>
            <w:gridSpan w:val="4"/>
          </w:tcPr>
          <w:p w:rsidR="000A47AD" w:rsidRPr="00E805BE" w:rsidRDefault="00006D6F" w:rsidP="005A7E90">
            <w:pPr>
              <w:rPr>
                <w:rFonts w:cstheme="minorHAnsi"/>
                <w:b/>
                <w:sz w:val="18"/>
                <w:szCs w:val="18"/>
              </w:rPr>
            </w:pPr>
            <w:r w:rsidRPr="00E805BE">
              <w:rPr>
                <w:rFonts w:cstheme="minorHAnsi"/>
                <w:b/>
                <w:sz w:val="18"/>
                <w:szCs w:val="18"/>
              </w:rPr>
              <w:t xml:space="preserve">Section 4: Life Cycle Assessment. </w:t>
            </w:r>
          </w:p>
          <w:p w:rsidR="00006D6F" w:rsidRPr="00E805BE" w:rsidRDefault="00006D6F" w:rsidP="005A7E90">
            <w:pPr>
              <w:rPr>
                <w:rFonts w:eastAsia="Calibri" w:cstheme="minorHAnsi"/>
                <w:b/>
                <w:color w:val="000000"/>
                <w:sz w:val="18"/>
                <w:szCs w:val="18"/>
              </w:rPr>
            </w:pPr>
            <w:r w:rsidRPr="00E805BE">
              <w:rPr>
                <w:rFonts w:cstheme="minorHAnsi"/>
                <w:b/>
                <w:sz w:val="18"/>
                <w:szCs w:val="18"/>
              </w:rPr>
              <w:t>Consumer choices can play a role in reducing and preventing carbon emissions.</w:t>
            </w:r>
          </w:p>
        </w:tc>
      </w:tr>
      <w:tr w:rsidR="00006D6F" w:rsidRPr="00E805BE" w:rsidTr="00006D6F">
        <w:tc>
          <w:tcPr>
            <w:tcW w:w="1861" w:type="pct"/>
            <w:gridSpan w:val="2"/>
          </w:tcPr>
          <w:p w:rsidR="00006D6F" w:rsidRPr="00E805BE" w:rsidRDefault="00006D6F" w:rsidP="000A17C4">
            <w:pPr>
              <w:rPr>
                <w:rFonts w:cstheme="minorHAnsi"/>
                <w:b/>
                <w:sz w:val="18"/>
                <w:szCs w:val="18"/>
              </w:rPr>
            </w:pPr>
            <w:r w:rsidRPr="00E805BE">
              <w:rPr>
                <w:rFonts w:cstheme="minorHAnsi"/>
                <w:b/>
                <w:sz w:val="18"/>
                <w:szCs w:val="18"/>
              </w:rPr>
              <w:t>Activity</w:t>
            </w:r>
          </w:p>
        </w:tc>
        <w:tc>
          <w:tcPr>
            <w:tcW w:w="1569" w:type="pct"/>
          </w:tcPr>
          <w:p w:rsidR="00006D6F" w:rsidRPr="00E805BE" w:rsidRDefault="00006D6F" w:rsidP="000A17C4">
            <w:pPr>
              <w:rPr>
                <w:rFonts w:cstheme="minorHAnsi"/>
                <w:b/>
                <w:sz w:val="18"/>
                <w:szCs w:val="18"/>
              </w:rPr>
            </w:pPr>
            <w:r w:rsidRPr="00E805BE">
              <w:rPr>
                <w:rFonts w:cstheme="minorHAnsi"/>
                <w:b/>
                <w:sz w:val="18"/>
                <w:szCs w:val="18"/>
              </w:rPr>
              <w:t>Summary</w:t>
            </w:r>
          </w:p>
        </w:tc>
        <w:tc>
          <w:tcPr>
            <w:tcW w:w="1570" w:type="pct"/>
          </w:tcPr>
          <w:p w:rsidR="00006D6F" w:rsidRPr="00E805BE" w:rsidRDefault="00006D6F" w:rsidP="005A7E90">
            <w:pPr>
              <w:rPr>
                <w:rFonts w:eastAsia="Calibri" w:cstheme="minorHAnsi"/>
                <w:b/>
                <w:color w:val="000000"/>
                <w:sz w:val="18"/>
                <w:szCs w:val="18"/>
              </w:rPr>
            </w:pPr>
            <w:r w:rsidRPr="00E805BE">
              <w:rPr>
                <w:rFonts w:eastAsia="Calibri" w:cstheme="minorHAnsi"/>
                <w:b/>
                <w:color w:val="000000"/>
                <w:sz w:val="18"/>
                <w:szCs w:val="18"/>
              </w:rPr>
              <w:t>Status</w:t>
            </w:r>
          </w:p>
        </w:tc>
      </w:tr>
      <w:tr w:rsidR="000A17C4" w:rsidRPr="00E805BE" w:rsidTr="000A17C4">
        <w:tc>
          <w:tcPr>
            <w:tcW w:w="493" w:type="pct"/>
          </w:tcPr>
          <w:p w:rsidR="000A17C4" w:rsidRPr="00E805BE" w:rsidRDefault="000A47AD" w:rsidP="000A17C4">
            <w:pPr>
              <w:rPr>
                <w:rFonts w:eastAsia="Calibri" w:cstheme="minorHAnsi"/>
                <w:color w:val="000000"/>
                <w:sz w:val="18"/>
                <w:szCs w:val="18"/>
              </w:rPr>
            </w:pPr>
            <w:r w:rsidRPr="00E805BE">
              <w:rPr>
                <w:rFonts w:eastAsia="Calibri" w:cstheme="minorHAnsi"/>
                <w:color w:val="000000"/>
                <w:sz w:val="18"/>
                <w:szCs w:val="18"/>
              </w:rPr>
              <w:t>8</w:t>
            </w:r>
          </w:p>
        </w:tc>
        <w:tc>
          <w:tcPr>
            <w:tcW w:w="1368" w:type="pct"/>
          </w:tcPr>
          <w:p w:rsidR="000A17C4" w:rsidRPr="00E805BE" w:rsidRDefault="00006D6F" w:rsidP="000A17C4">
            <w:pPr>
              <w:rPr>
                <w:rFonts w:cstheme="minorHAnsi"/>
                <w:sz w:val="18"/>
                <w:szCs w:val="18"/>
              </w:rPr>
            </w:pPr>
            <w:r w:rsidRPr="00E805BE">
              <w:rPr>
                <w:rFonts w:cstheme="minorHAnsi"/>
                <w:sz w:val="18"/>
                <w:szCs w:val="18"/>
              </w:rPr>
              <w:t>The Real Cost: Shopping for Externalities</w:t>
            </w:r>
          </w:p>
        </w:tc>
        <w:tc>
          <w:tcPr>
            <w:tcW w:w="1569" w:type="pct"/>
          </w:tcPr>
          <w:p w:rsidR="000A17C4" w:rsidRPr="00E805BE" w:rsidRDefault="00006D6F" w:rsidP="000A17C4">
            <w:pPr>
              <w:rPr>
                <w:rFonts w:cstheme="minorHAnsi"/>
                <w:sz w:val="18"/>
                <w:szCs w:val="18"/>
              </w:rPr>
            </w:pPr>
            <w:r w:rsidRPr="00E805BE">
              <w:rPr>
                <w:rFonts w:cstheme="minorHAnsi"/>
                <w:sz w:val="18"/>
                <w:szCs w:val="18"/>
              </w:rPr>
              <w:t>Through a simulated shopping activity students will learn about the impact of their consumer choices on the environment. They will explore questions such as: What are the hidden costs of everyday items? What environmental factors could be used to compare products?</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A17C4" w:rsidRPr="00E805BE" w:rsidRDefault="000A17C4" w:rsidP="005A7E90">
            <w:pPr>
              <w:rPr>
                <w:rFonts w:eastAsia="Calibri" w:cstheme="minorHAnsi"/>
                <w:color w:val="000000"/>
                <w:sz w:val="18"/>
                <w:szCs w:val="18"/>
              </w:rPr>
            </w:pPr>
          </w:p>
        </w:tc>
      </w:tr>
      <w:tr w:rsidR="00006D6F" w:rsidRPr="00E805BE" w:rsidTr="000A17C4">
        <w:tc>
          <w:tcPr>
            <w:tcW w:w="493" w:type="pct"/>
          </w:tcPr>
          <w:p w:rsidR="00006D6F" w:rsidRPr="00E805BE" w:rsidRDefault="000A47AD" w:rsidP="000A17C4">
            <w:pPr>
              <w:rPr>
                <w:rFonts w:eastAsia="Calibri" w:cstheme="minorHAnsi"/>
                <w:color w:val="000000"/>
                <w:sz w:val="18"/>
                <w:szCs w:val="18"/>
              </w:rPr>
            </w:pPr>
            <w:r w:rsidRPr="00E805BE">
              <w:rPr>
                <w:rFonts w:eastAsia="Calibri" w:cstheme="minorHAnsi"/>
                <w:color w:val="000000"/>
                <w:sz w:val="18"/>
                <w:szCs w:val="18"/>
              </w:rPr>
              <w:t>9</w:t>
            </w:r>
          </w:p>
        </w:tc>
        <w:tc>
          <w:tcPr>
            <w:tcW w:w="1368" w:type="pct"/>
          </w:tcPr>
          <w:p w:rsidR="00006D6F" w:rsidRPr="00E805BE" w:rsidRDefault="00006D6F" w:rsidP="000A17C4">
            <w:pPr>
              <w:rPr>
                <w:rFonts w:cstheme="minorHAnsi"/>
                <w:sz w:val="18"/>
                <w:szCs w:val="18"/>
              </w:rPr>
            </w:pPr>
            <w:r w:rsidRPr="00E805BE">
              <w:rPr>
                <w:rFonts w:cstheme="minorHAnsi"/>
                <w:sz w:val="18"/>
                <w:szCs w:val="18"/>
              </w:rPr>
              <w:t>Adventures in Life Cycle Assessment</w:t>
            </w:r>
          </w:p>
        </w:tc>
        <w:tc>
          <w:tcPr>
            <w:tcW w:w="1569" w:type="pct"/>
          </w:tcPr>
          <w:p w:rsidR="00006D6F" w:rsidRPr="00E805BE" w:rsidRDefault="00006D6F" w:rsidP="000A17C4">
            <w:pPr>
              <w:rPr>
                <w:rFonts w:cstheme="minorHAnsi"/>
                <w:sz w:val="18"/>
                <w:szCs w:val="18"/>
              </w:rPr>
            </w:pPr>
            <w:r w:rsidRPr="00E805BE">
              <w:rPr>
                <w:rFonts w:cstheme="minorHAnsi"/>
                <w:sz w:val="18"/>
                <w:szCs w:val="18"/>
              </w:rPr>
              <w:t>Students investigate the life cycle of three types of outdoor lawn furniture (plastic resin, cast aluminum, and pine) and make conclusions regarding their relative impact on global climate change. The information necessary to perform the assessment is provided in two formats: 1) a three-act stage play and 2) student presentations.</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06D6F" w:rsidRPr="00E805BE" w:rsidRDefault="00006D6F" w:rsidP="005A7E90">
            <w:pPr>
              <w:rPr>
                <w:rFonts w:eastAsia="Calibri" w:cstheme="minorHAnsi"/>
                <w:color w:val="000000"/>
                <w:sz w:val="18"/>
                <w:szCs w:val="18"/>
              </w:rPr>
            </w:pPr>
          </w:p>
        </w:tc>
      </w:tr>
      <w:tr w:rsidR="00006D6F" w:rsidRPr="00E805BE" w:rsidTr="000A17C4">
        <w:tc>
          <w:tcPr>
            <w:tcW w:w="493" w:type="pct"/>
          </w:tcPr>
          <w:p w:rsidR="00006D6F" w:rsidRPr="00E805BE" w:rsidRDefault="000A47AD" w:rsidP="000A17C4">
            <w:pPr>
              <w:rPr>
                <w:rFonts w:eastAsia="Calibri" w:cstheme="minorHAnsi"/>
                <w:color w:val="000000"/>
                <w:sz w:val="18"/>
                <w:szCs w:val="18"/>
              </w:rPr>
            </w:pPr>
            <w:r w:rsidRPr="00E805BE">
              <w:rPr>
                <w:rFonts w:eastAsia="Calibri" w:cstheme="minorHAnsi"/>
                <w:color w:val="000000"/>
                <w:sz w:val="18"/>
                <w:szCs w:val="18"/>
              </w:rPr>
              <w:t>10</w:t>
            </w:r>
          </w:p>
        </w:tc>
        <w:tc>
          <w:tcPr>
            <w:tcW w:w="1368" w:type="pct"/>
          </w:tcPr>
          <w:p w:rsidR="00006D6F" w:rsidRPr="00E805BE" w:rsidRDefault="00006D6F" w:rsidP="000A17C4">
            <w:pPr>
              <w:rPr>
                <w:rFonts w:cstheme="minorHAnsi"/>
                <w:sz w:val="18"/>
                <w:szCs w:val="18"/>
              </w:rPr>
            </w:pPr>
            <w:r w:rsidRPr="00E805BE">
              <w:rPr>
                <w:rFonts w:cstheme="minorHAnsi"/>
                <w:sz w:val="18"/>
                <w:szCs w:val="18"/>
              </w:rPr>
              <w:t>Life Cycle Assessment Debate</w:t>
            </w:r>
          </w:p>
        </w:tc>
        <w:tc>
          <w:tcPr>
            <w:tcW w:w="1569" w:type="pct"/>
          </w:tcPr>
          <w:p w:rsidR="00006D6F" w:rsidRPr="00E805BE" w:rsidRDefault="00006D6F" w:rsidP="000A17C4">
            <w:pPr>
              <w:rPr>
                <w:rFonts w:cstheme="minorHAnsi"/>
                <w:sz w:val="18"/>
                <w:szCs w:val="18"/>
              </w:rPr>
            </w:pPr>
            <w:r w:rsidRPr="00E805BE">
              <w:rPr>
                <w:rFonts w:cstheme="minorHAnsi"/>
                <w:sz w:val="18"/>
                <w:szCs w:val="18"/>
              </w:rPr>
              <w:t>After a debate where students compare products, students develop a set of life cycle questions that can be used to guide consumer choices.</w:t>
            </w:r>
          </w:p>
        </w:tc>
        <w:tc>
          <w:tcPr>
            <w:tcW w:w="1570" w:type="pct"/>
          </w:tcPr>
          <w:p w:rsidR="00B72CEA" w:rsidRPr="00E805BE" w:rsidRDefault="00B72CEA" w:rsidP="00B72CEA">
            <w:pPr>
              <w:rPr>
                <w:rFonts w:eastAsia="Calibri" w:cstheme="minorHAnsi"/>
                <w:color w:val="000000"/>
                <w:sz w:val="18"/>
                <w:szCs w:val="18"/>
              </w:rPr>
            </w:pPr>
            <w:r w:rsidRPr="00E805BE">
              <w:rPr>
                <w:rFonts w:eastAsia="Calibri" w:cstheme="minorHAnsi"/>
                <w:color w:val="000000"/>
                <w:sz w:val="18"/>
                <w:szCs w:val="18"/>
              </w:rPr>
              <w:t>Drafted, Reviewed by Advisory Committee</w:t>
            </w:r>
          </w:p>
          <w:p w:rsidR="00006D6F" w:rsidRPr="00E805BE" w:rsidRDefault="00006D6F" w:rsidP="005A7E90">
            <w:pPr>
              <w:rPr>
                <w:rFonts w:eastAsia="Calibri" w:cstheme="minorHAnsi"/>
                <w:color w:val="000000"/>
                <w:sz w:val="18"/>
                <w:szCs w:val="18"/>
              </w:rPr>
            </w:pPr>
          </w:p>
        </w:tc>
      </w:tr>
      <w:tr w:rsidR="00006D6F" w:rsidRPr="00E805BE" w:rsidTr="000A17C4">
        <w:tc>
          <w:tcPr>
            <w:tcW w:w="493" w:type="pct"/>
          </w:tcPr>
          <w:p w:rsidR="00006D6F" w:rsidRPr="00E805BE" w:rsidRDefault="001A3423" w:rsidP="000A17C4">
            <w:pPr>
              <w:rPr>
                <w:rFonts w:eastAsia="Calibri" w:cstheme="minorHAnsi"/>
                <w:color w:val="000000"/>
                <w:sz w:val="18"/>
                <w:szCs w:val="18"/>
              </w:rPr>
            </w:pPr>
            <w:r w:rsidRPr="00E805BE">
              <w:rPr>
                <w:rFonts w:eastAsia="Calibri" w:cstheme="minorHAnsi"/>
                <w:color w:val="000000"/>
                <w:sz w:val="18"/>
                <w:szCs w:val="18"/>
              </w:rPr>
              <w:t>11</w:t>
            </w:r>
          </w:p>
        </w:tc>
        <w:tc>
          <w:tcPr>
            <w:tcW w:w="1368" w:type="pct"/>
          </w:tcPr>
          <w:p w:rsidR="00006D6F" w:rsidRPr="00E805BE" w:rsidRDefault="00006D6F" w:rsidP="000A17C4">
            <w:pPr>
              <w:rPr>
                <w:rFonts w:cstheme="minorHAnsi"/>
                <w:sz w:val="18"/>
                <w:szCs w:val="18"/>
              </w:rPr>
            </w:pPr>
            <w:r w:rsidRPr="00E805BE">
              <w:rPr>
                <w:rFonts w:cstheme="minorHAnsi"/>
                <w:sz w:val="18"/>
                <w:szCs w:val="18"/>
              </w:rPr>
              <w:t>Extension: Create Your Own Life Cycle Assessment</w:t>
            </w:r>
          </w:p>
        </w:tc>
        <w:tc>
          <w:tcPr>
            <w:tcW w:w="1569" w:type="pct"/>
          </w:tcPr>
          <w:p w:rsidR="00006D6F" w:rsidRPr="00E805BE" w:rsidRDefault="00006D6F" w:rsidP="000A17C4">
            <w:pPr>
              <w:rPr>
                <w:rFonts w:cstheme="minorHAnsi"/>
                <w:sz w:val="18"/>
                <w:szCs w:val="18"/>
              </w:rPr>
            </w:pPr>
            <w:r w:rsidRPr="00E805BE">
              <w:rPr>
                <w:rFonts w:cstheme="minorHAnsi"/>
                <w:sz w:val="18"/>
                <w:szCs w:val="18"/>
              </w:rPr>
              <w:t>This tutorial shows students how to use the National Renewable Energy Laboratory U.S. Life Cycle Inventory Database to investigate and calculate greenhouse gas emission data for a product of their choice.</w:t>
            </w:r>
          </w:p>
        </w:tc>
        <w:tc>
          <w:tcPr>
            <w:tcW w:w="1570" w:type="pct"/>
          </w:tcPr>
          <w:p w:rsidR="00B72CEA" w:rsidRPr="00E805BE" w:rsidRDefault="00B72CEA" w:rsidP="005A7E90">
            <w:pPr>
              <w:rPr>
                <w:rFonts w:eastAsia="Calibri" w:cstheme="minorHAnsi"/>
                <w:color w:val="000000"/>
                <w:sz w:val="18"/>
                <w:szCs w:val="18"/>
              </w:rPr>
            </w:pPr>
            <w:r w:rsidRPr="00E805BE">
              <w:rPr>
                <w:rFonts w:eastAsia="Calibri" w:cstheme="minorHAnsi"/>
                <w:color w:val="000000"/>
                <w:sz w:val="18"/>
                <w:szCs w:val="18"/>
              </w:rPr>
              <w:t>Drafted</w:t>
            </w:r>
          </w:p>
          <w:p w:rsidR="00B72CEA" w:rsidRPr="00E805BE" w:rsidRDefault="00B72CEA" w:rsidP="005A7E90">
            <w:pPr>
              <w:rPr>
                <w:rFonts w:eastAsia="Calibri" w:cstheme="minorHAnsi"/>
                <w:color w:val="000000"/>
                <w:sz w:val="18"/>
                <w:szCs w:val="18"/>
              </w:rPr>
            </w:pPr>
          </w:p>
          <w:p w:rsidR="00B72CEA" w:rsidRPr="00E805BE" w:rsidRDefault="00B72CEA" w:rsidP="005A7E90">
            <w:pPr>
              <w:rPr>
                <w:rFonts w:eastAsia="Calibri" w:cstheme="minorHAnsi"/>
                <w:color w:val="000000"/>
                <w:sz w:val="18"/>
                <w:szCs w:val="18"/>
              </w:rPr>
            </w:pPr>
            <w:r w:rsidRPr="00E805BE">
              <w:rPr>
                <w:rFonts w:eastAsia="Calibri" w:cstheme="minorHAnsi"/>
                <w:color w:val="000000"/>
                <w:sz w:val="18"/>
                <w:szCs w:val="18"/>
              </w:rPr>
              <w:t>Needs Review by Advisory Committee</w:t>
            </w:r>
          </w:p>
        </w:tc>
      </w:tr>
      <w:tr w:rsidR="001A3423" w:rsidRPr="00E805BE" w:rsidTr="001A3423">
        <w:tc>
          <w:tcPr>
            <w:tcW w:w="5000" w:type="pct"/>
            <w:gridSpan w:val="4"/>
          </w:tcPr>
          <w:p w:rsidR="001A3423" w:rsidRPr="00E805BE" w:rsidRDefault="001A3423" w:rsidP="005A7E90">
            <w:pPr>
              <w:rPr>
                <w:rFonts w:eastAsia="Calibri" w:cstheme="minorHAnsi"/>
                <w:color w:val="000000"/>
                <w:sz w:val="18"/>
                <w:szCs w:val="18"/>
              </w:rPr>
            </w:pPr>
            <w:r w:rsidRPr="00E805BE">
              <w:rPr>
                <w:rFonts w:cstheme="minorHAnsi"/>
                <w:b/>
                <w:sz w:val="18"/>
                <w:szCs w:val="18"/>
              </w:rPr>
              <w:lastRenderedPageBreak/>
              <w:t>Wrap-Up Activity</w:t>
            </w:r>
          </w:p>
        </w:tc>
      </w:tr>
      <w:tr w:rsidR="001A3423" w:rsidRPr="00E805BE" w:rsidTr="001A3423">
        <w:tc>
          <w:tcPr>
            <w:tcW w:w="493" w:type="pct"/>
          </w:tcPr>
          <w:p w:rsidR="001A3423" w:rsidRPr="00E805BE" w:rsidRDefault="001A3423" w:rsidP="000A17C4">
            <w:pPr>
              <w:rPr>
                <w:rFonts w:cstheme="minorHAnsi"/>
                <w:sz w:val="18"/>
                <w:szCs w:val="18"/>
              </w:rPr>
            </w:pPr>
            <w:r w:rsidRPr="00E805BE">
              <w:rPr>
                <w:rFonts w:cstheme="minorHAnsi"/>
                <w:sz w:val="18"/>
                <w:szCs w:val="18"/>
              </w:rPr>
              <w:t>12</w:t>
            </w:r>
          </w:p>
        </w:tc>
        <w:tc>
          <w:tcPr>
            <w:tcW w:w="1368" w:type="pct"/>
          </w:tcPr>
          <w:p w:rsidR="001A3423" w:rsidRPr="00E805BE" w:rsidRDefault="001A3423" w:rsidP="001A3423">
            <w:pPr>
              <w:rPr>
                <w:rFonts w:cstheme="minorHAnsi"/>
                <w:b/>
                <w:sz w:val="18"/>
                <w:szCs w:val="18"/>
              </w:rPr>
            </w:pPr>
            <w:r w:rsidRPr="00E805BE">
              <w:rPr>
                <w:rFonts w:cstheme="minorHAnsi"/>
                <w:b/>
                <w:sz w:val="18"/>
                <w:szCs w:val="18"/>
              </w:rPr>
              <w:t xml:space="preserve">Putting It All Together: Climate, Forests, and Communities </w:t>
            </w:r>
          </w:p>
        </w:tc>
        <w:tc>
          <w:tcPr>
            <w:tcW w:w="1569" w:type="pct"/>
          </w:tcPr>
          <w:p w:rsidR="001A3423" w:rsidRPr="00E805BE" w:rsidRDefault="001A3423" w:rsidP="001A3423">
            <w:pPr>
              <w:rPr>
                <w:rFonts w:cstheme="minorHAnsi"/>
                <w:sz w:val="18"/>
                <w:szCs w:val="18"/>
              </w:rPr>
            </w:pPr>
            <w:r w:rsidRPr="00E805BE">
              <w:rPr>
                <w:rFonts w:cstheme="minorHAnsi"/>
                <w:sz w:val="18"/>
                <w:szCs w:val="18"/>
              </w:rPr>
              <w:t>Students will explore forest management on a landscape scale, while considering climate</w:t>
            </w:r>
            <w:r w:rsidR="00145262" w:rsidRPr="00E805BE">
              <w:rPr>
                <w:rFonts w:cstheme="minorHAnsi"/>
                <w:sz w:val="18"/>
                <w:szCs w:val="18"/>
              </w:rPr>
              <w:t xml:space="preserve"> change</w:t>
            </w:r>
            <w:r w:rsidRPr="00E805BE">
              <w:rPr>
                <w:rFonts w:cstheme="minorHAnsi"/>
                <w:sz w:val="18"/>
                <w:szCs w:val="18"/>
              </w:rPr>
              <w:t xml:space="preserve"> mitigation and adaptation strategies. </w:t>
            </w:r>
          </w:p>
        </w:tc>
        <w:tc>
          <w:tcPr>
            <w:tcW w:w="1570" w:type="pct"/>
          </w:tcPr>
          <w:p w:rsidR="001A3423" w:rsidRPr="00E805BE" w:rsidRDefault="00E805BE" w:rsidP="005A7E90">
            <w:pPr>
              <w:rPr>
                <w:rFonts w:eastAsia="Calibri" w:cstheme="minorHAnsi"/>
                <w:color w:val="000000"/>
                <w:sz w:val="18"/>
                <w:szCs w:val="18"/>
              </w:rPr>
            </w:pPr>
            <w:r w:rsidRPr="00E805BE">
              <w:rPr>
                <w:rFonts w:eastAsia="Calibri" w:cstheme="minorHAnsi"/>
                <w:color w:val="000000"/>
                <w:sz w:val="18"/>
                <w:szCs w:val="18"/>
              </w:rPr>
              <w:t>Need to develop concept</w:t>
            </w:r>
          </w:p>
        </w:tc>
      </w:tr>
    </w:tbl>
    <w:p w:rsidR="000A17C4" w:rsidRPr="001474C1" w:rsidRDefault="000A17C4" w:rsidP="005A7E90">
      <w:pPr>
        <w:rPr>
          <w:rFonts w:ascii="Calibri" w:eastAsia="Calibri" w:hAnsi="Calibri" w:cs="Calibri"/>
          <w:color w:val="000000"/>
        </w:rPr>
      </w:pPr>
    </w:p>
    <w:p w:rsidR="005A7E90" w:rsidRDefault="005A7E90" w:rsidP="005A7E90"/>
    <w:p w:rsidR="005A7E90" w:rsidRDefault="005A7E90" w:rsidP="003D1EFD">
      <w:pPr>
        <w:shd w:val="clear" w:color="auto" w:fill="FFFFFF" w:themeFill="background1"/>
      </w:pPr>
      <w:bookmarkStart w:id="0" w:name="_GoBack"/>
      <w:bookmarkEnd w:id="0"/>
    </w:p>
    <w:sectPr w:rsidR="005A7E90" w:rsidSect="000949B9">
      <w:footerReference w:type="default" r:id="rId9"/>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1A" w:rsidRDefault="0063561A" w:rsidP="000949B9">
      <w:r>
        <w:separator/>
      </w:r>
    </w:p>
  </w:endnote>
  <w:endnote w:type="continuationSeparator" w:id="0">
    <w:p w:rsidR="0063561A" w:rsidRDefault="0063561A" w:rsidP="000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8019"/>
      <w:docPartObj>
        <w:docPartGallery w:val="Page Numbers (Bottom of Page)"/>
        <w:docPartUnique/>
      </w:docPartObj>
    </w:sdtPr>
    <w:sdtEndPr>
      <w:rPr>
        <w:noProof/>
      </w:rPr>
    </w:sdtEndPr>
    <w:sdtContent>
      <w:p w:rsidR="0063561A" w:rsidRDefault="0063561A" w:rsidP="000949B9">
        <w:pPr>
          <w:pStyle w:val="Footer"/>
        </w:pPr>
        <w:r>
          <w:t>PINEMAP Interim Report, July 2012, Aim 5</w:t>
        </w:r>
        <w:r>
          <w:tab/>
        </w:r>
        <w:r>
          <w:tab/>
        </w:r>
        <w:r>
          <w:fldChar w:fldCharType="begin"/>
        </w:r>
        <w:r>
          <w:instrText xml:space="preserve"> PAGE   \* MERGEFORMAT </w:instrText>
        </w:r>
        <w:r>
          <w:fldChar w:fldCharType="separate"/>
        </w:r>
        <w:r w:rsidR="00D12012">
          <w:rPr>
            <w:noProof/>
          </w:rPr>
          <w:t>15</w:t>
        </w:r>
        <w:r>
          <w:rPr>
            <w:noProof/>
          </w:rPr>
          <w:fldChar w:fldCharType="end"/>
        </w:r>
      </w:p>
    </w:sdtContent>
  </w:sdt>
  <w:p w:rsidR="0063561A" w:rsidRDefault="0063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1A" w:rsidRDefault="0063561A" w:rsidP="000949B9">
      <w:r>
        <w:separator/>
      </w:r>
    </w:p>
  </w:footnote>
  <w:footnote w:type="continuationSeparator" w:id="0">
    <w:p w:rsidR="0063561A" w:rsidRDefault="0063561A" w:rsidP="0009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7AE"/>
    <w:multiLevelType w:val="hybridMultilevel"/>
    <w:tmpl w:val="1578010A"/>
    <w:lvl w:ilvl="0" w:tplc="379CE2A2">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8A06D6"/>
    <w:multiLevelType w:val="hybridMultilevel"/>
    <w:tmpl w:val="CAD2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61C50"/>
    <w:multiLevelType w:val="hybridMultilevel"/>
    <w:tmpl w:val="C9C06CC8"/>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95A01"/>
    <w:multiLevelType w:val="hybridMultilevel"/>
    <w:tmpl w:val="0FCC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C7288"/>
    <w:multiLevelType w:val="hybridMultilevel"/>
    <w:tmpl w:val="57D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56E1A"/>
    <w:multiLevelType w:val="hybridMultilevel"/>
    <w:tmpl w:val="6218B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AB4B17"/>
    <w:multiLevelType w:val="hybridMultilevel"/>
    <w:tmpl w:val="D17E80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B4A93"/>
    <w:multiLevelType w:val="hybridMultilevel"/>
    <w:tmpl w:val="7A5A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91101"/>
    <w:multiLevelType w:val="hybridMultilevel"/>
    <w:tmpl w:val="E85C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19093C"/>
    <w:multiLevelType w:val="hybridMultilevel"/>
    <w:tmpl w:val="CC1E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A7AFF"/>
    <w:multiLevelType w:val="hybridMultilevel"/>
    <w:tmpl w:val="D9E4B0FE"/>
    <w:lvl w:ilvl="0" w:tplc="6E16A69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B23CA"/>
    <w:multiLevelType w:val="hybridMultilevel"/>
    <w:tmpl w:val="6310FC84"/>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D04AA"/>
    <w:multiLevelType w:val="hybridMultilevel"/>
    <w:tmpl w:val="ABCAEB96"/>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63214"/>
    <w:multiLevelType w:val="hybridMultilevel"/>
    <w:tmpl w:val="E35601BE"/>
    <w:lvl w:ilvl="0" w:tplc="775A50D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F3E7766"/>
    <w:multiLevelType w:val="hybridMultilevel"/>
    <w:tmpl w:val="8ACADD58"/>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33F46"/>
    <w:multiLevelType w:val="hybridMultilevel"/>
    <w:tmpl w:val="D9F2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A5610"/>
    <w:multiLevelType w:val="hybridMultilevel"/>
    <w:tmpl w:val="CF8A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33389"/>
    <w:multiLevelType w:val="hybridMultilevel"/>
    <w:tmpl w:val="66E8291A"/>
    <w:lvl w:ilvl="0" w:tplc="775A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15"/>
  </w:num>
  <w:num w:numId="5">
    <w:abstractNumId w:val="10"/>
  </w:num>
  <w:num w:numId="6">
    <w:abstractNumId w:val="11"/>
  </w:num>
  <w:num w:numId="7">
    <w:abstractNumId w:val="6"/>
  </w:num>
  <w:num w:numId="8">
    <w:abstractNumId w:val="12"/>
  </w:num>
  <w:num w:numId="9">
    <w:abstractNumId w:val="0"/>
  </w:num>
  <w:num w:numId="10">
    <w:abstractNumId w:val="14"/>
  </w:num>
  <w:num w:numId="11">
    <w:abstractNumId w:val="3"/>
  </w:num>
  <w:num w:numId="12">
    <w:abstractNumId w:val="16"/>
  </w:num>
  <w:num w:numId="13">
    <w:abstractNumId w:val="8"/>
  </w:num>
  <w:num w:numId="14">
    <w:abstractNumId w:val="4"/>
  </w:num>
  <w:num w:numId="15">
    <w:abstractNumId w:val="9"/>
  </w:num>
  <w:num w:numId="16">
    <w:abstractNumId w:val="7"/>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5A"/>
    <w:rsid w:val="00006D6F"/>
    <w:rsid w:val="000132ED"/>
    <w:rsid w:val="000332C8"/>
    <w:rsid w:val="00045C8B"/>
    <w:rsid w:val="00056146"/>
    <w:rsid w:val="00070B48"/>
    <w:rsid w:val="00071D96"/>
    <w:rsid w:val="000949B9"/>
    <w:rsid w:val="000A17C4"/>
    <w:rsid w:val="000A3B60"/>
    <w:rsid w:val="000A47AD"/>
    <w:rsid w:val="000A506E"/>
    <w:rsid w:val="000B5BE9"/>
    <w:rsid w:val="000C07FF"/>
    <w:rsid w:val="000D66D1"/>
    <w:rsid w:val="000E2101"/>
    <w:rsid w:val="001143CE"/>
    <w:rsid w:val="00125F46"/>
    <w:rsid w:val="00145262"/>
    <w:rsid w:val="001565D4"/>
    <w:rsid w:val="00185E49"/>
    <w:rsid w:val="00197BFE"/>
    <w:rsid w:val="001A3423"/>
    <w:rsid w:val="001B5369"/>
    <w:rsid w:val="001C41BF"/>
    <w:rsid w:val="001C66B5"/>
    <w:rsid w:val="001D6DC9"/>
    <w:rsid w:val="001F16EF"/>
    <w:rsid w:val="00215054"/>
    <w:rsid w:val="00260979"/>
    <w:rsid w:val="00276F99"/>
    <w:rsid w:val="002A76EF"/>
    <w:rsid w:val="002B6B36"/>
    <w:rsid w:val="002C73DF"/>
    <w:rsid w:val="002D3117"/>
    <w:rsid w:val="002E1D15"/>
    <w:rsid w:val="002E6F56"/>
    <w:rsid w:val="00304D09"/>
    <w:rsid w:val="00304DF8"/>
    <w:rsid w:val="00311165"/>
    <w:rsid w:val="00313C70"/>
    <w:rsid w:val="003300B9"/>
    <w:rsid w:val="00331A84"/>
    <w:rsid w:val="00336DF3"/>
    <w:rsid w:val="00360F59"/>
    <w:rsid w:val="00364781"/>
    <w:rsid w:val="00391229"/>
    <w:rsid w:val="00392D0E"/>
    <w:rsid w:val="003B3ABA"/>
    <w:rsid w:val="003D1EFD"/>
    <w:rsid w:val="003E7689"/>
    <w:rsid w:val="003F11D8"/>
    <w:rsid w:val="003F2C8B"/>
    <w:rsid w:val="00422B7C"/>
    <w:rsid w:val="00437488"/>
    <w:rsid w:val="004375A4"/>
    <w:rsid w:val="00457CD9"/>
    <w:rsid w:val="004705D7"/>
    <w:rsid w:val="0048426C"/>
    <w:rsid w:val="00487FD9"/>
    <w:rsid w:val="004A361A"/>
    <w:rsid w:val="004A62A1"/>
    <w:rsid w:val="004B0507"/>
    <w:rsid w:val="004B5541"/>
    <w:rsid w:val="004B5BC1"/>
    <w:rsid w:val="004C1750"/>
    <w:rsid w:val="004C7E47"/>
    <w:rsid w:val="004D3C81"/>
    <w:rsid w:val="004E77D3"/>
    <w:rsid w:val="00500F70"/>
    <w:rsid w:val="00507B36"/>
    <w:rsid w:val="00541E9B"/>
    <w:rsid w:val="00547253"/>
    <w:rsid w:val="00571839"/>
    <w:rsid w:val="00580C66"/>
    <w:rsid w:val="0058111E"/>
    <w:rsid w:val="005A7E90"/>
    <w:rsid w:val="005B2318"/>
    <w:rsid w:val="005D3369"/>
    <w:rsid w:val="005E09C1"/>
    <w:rsid w:val="00600043"/>
    <w:rsid w:val="00612C32"/>
    <w:rsid w:val="00627BCA"/>
    <w:rsid w:val="0063561A"/>
    <w:rsid w:val="0064493B"/>
    <w:rsid w:val="00661A93"/>
    <w:rsid w:val="0067359A"/>
    <w:rsid w:val="006A03A3"/>
    <w:rsid w:val="006A37C6"/>
    <w:rsid w:val="006B45B7"/>
    <w:rsid w:val="006D17D4"/>
    <w:rsid w:val="006F092D"/>
    <w:rsid w:val="006F0F21"/>
    <w:rsid w:val="006F1415"/>
    <w:rsid w:val="006F253E"/>
    <w:rsid w:val="006F4110"/>
    <w:rsid w:val="0071299B"/>
    <w:rsid w:val="00725C1A"/>
    <w:rsid w:val="00731FF4"/>
    <w:rsid w:val="00732327"/>
    <w:rsid w:val="00773B74"/>
    <w:rsid w:val="00786399"/>
    <w:rsid w:val="007A0E3A"/>
    <w:rsid w:val="007B3DDD"/>
    <w:rsid w:val="007B45C1"/>
    <w:rsid w:val="007B7FCA"/>
    <w:rsid w:val="007C54CB"/>
    <w:rsid w:val="007D0FA4"/>
    <w:rsid w:val="007D267A"/>
    <w:rsid w:val="007D3D87"/>
    <w:rsid w:val="007F26E7"/>
    <w:rsid w:val="008110CC"/>
    <w:rsid w:val="00816CAF"/>
    <w:rsid w:val="00821043"/>
    <w:rsid w:val="00857863"/>
    <w:rsid w:val="008612BE"/>
    <w:rsid w:val="00880121"/>
    <w:rsid w:val="008A77C9"/>
    <w:rsid w:val="008B4B8D"/>
    <w:rsid w:val="008F0459"/>
    <w:rsid w:val="008F15E0"/>
    <w:rsid w:val="008F2A58"/>
    <w:rsid w:val="008F47AF"/>
    <w:rsid w:val="008F59BE"/>
    <w:rsid w:val="00923A12"/>
    <w:rsid w:val="00930B94"/>
    <w:rsid w:val="0094097D"/>
    <w:rsid w:val="00940F0C"/>
    <w:rsid w:val="00962536"/>
    <w:rsid w:val="00962902"/>
    <w:rsid w:val="00995E42"/>
    <w:rsid w:val="009A589B"/>
    <w:rsid w:val="009A7CBE"/>
    <w:rsid w:val="009B7952"/>
    <w:rsid w:val="009D1475"/>
    <w:rsid w:val="00A24438"/>
    <w:rsid w:val="00A27FD7"/>
    <w:rsid w:val="00A32BE9"/>
    <w:rsid w:val="00A36CBA"/>
    <w:rsid w:val="00A57C00"/>
    <w:rsid w:val="00A60136"/>
    <w:rsid w:val="00A77214"/>
    <w:rsid w:val="00AA05CD"/>
    <w:rsid w:val="00AA3090"/>
    <w:rsid w:val="00AB3611"/>
    <w:rsid w:val="00AC05E7"/>
    <w:rsid w:val="00AC5564"/>
    <w:rsid w:val="00AE1A3E"/>
    <w:rsid w:val="00AF0C99"/>
    <w:rsid w:val="00AF14B9"/>
    <w:rsid w:val="00AF30D1"/>
    <w:rsid w:val="00B3562C"/>
    <w:rsid w:val="00B368C0"/>
    <w:rsid w:val="00B72CEA"/>
    <w:rsid w:val="00B736A6"/>
    <w:rsid w:val="00B81A9D"/>
    <w:rsid w:val="00B87C1F"/>
    <w:rsid w:val="00BD00AD"/>
    <w:rsid w:val="00BE5266"/>
    <w:rsid w:val="00C322C9"/>
    <w:rsid w:val="00C332EF"/>
    <w:rsid w:val="00C40865"/>
    <w:rsid w:val="00C44D0E"/>
    <w:rsid w:val="00C516A5"/>
    <w:rsid w:val="00C74C95"/>
    <w:rsid w:val="00C771F5"/>
    <w:rsid w:val="00C84427"/>
    <w:rsid w:val="00C93EAC"/>
    <w:rsid w:val="00C95DB8"/>
    <w:rsid w:val="00CA41C3"/>
    <w:rsid w:val="00CA458D"/>
    <w:rsid w:val="00D12012"/>
    <w:rsid w:val="00D52254"/>
    <w:rsid w:val="00D71E0F"/>
    <w:rsid w:val="00D72B64"/>
    <w:rsid w:val="00D74BB4"/>
    <w:rsid w:val="00D7594C"/>
    <w:rsid w:val="00D90404"/>
    <w:rsid w:val="00D96E0B"/>
    <w:rsid w:val="00DA021D"/>
    <w:rsid w:val="00DA1044"/>
    <w:rsid w:val="00DA46C9"/>
    <w:rsid w:val="00DB3EE6"/>
    <w:rsid w:val="00DC4112"/>
    <w:rsid w:val="00DC4B0B"/>
    <w:rsid w:val="00DD6436"/>
    <w:rsid w:val="00DE109F"/>
    <w:rsid w:val="00DE52CB"/>
    <w:rsid w:val="00DE5F5F"/>
    <w:rsid w:val="00DF0D84"/>
    <w:rsid w:val="00DF71E3"/>
    <w:rsid w:val="00E04CEF"/>
    <w:rsid w:val="00E128C2"/>
    <w:rsid w:val="00E27E9A"/>
    <w:rsid w:val="00E34EF0"/>
    <w:rsid w:val="00E47D38"/>
    <w:rsid w:val="00E572B1"/>
    <w:rsid w:val="00E743C4"/>
    <w:rsid w:val="00E805BE"/>
    <w:rsid w:val="00E86B2E"/>
    <w:rsid w:val="00EB6311"/>
    <w:rsid w:val="00F11867"/>
    <w:rsid w:val="00F21501"/>
    <w:rsid w:val="00F21731"/>
    <w:rsid w:val="00F53416"/>
    <w:rsid w:val="00F54127"/>
    <w:rsid w:val="00F578AB"/>
    <w:rsid w:val="00F57F5A"/>
    <w:rsid w:val="00F6745D"/>
    <w:rsid w:val="00FA1FEC"/>
    <w:rsid w:val="00FB37F7"/>
    <w:rsid w:val="00FB5829"/>
    <w:rsid w:val="00FF1951"/>
    <w:rsid w:val="00FF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paragraph" w:customStyle="1" w:styleId="Default">
    <w:name w:val="Default"/>
    <w:rsid w:val="002D311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6F253E"/>
    <w:rPr>
      <w:sz w:val="16"/>
      <w:szCs w:val="16"/>
    </w:rPr>
  </w:style>
  <w:style w:type="paragraph" w:styleId="CommentText">
    <w:name w:val="annotation text"/>
    <w:basedOn w:val="Normal"/>
    <w:link w:val="CommentTextChar"/>
    <w:uiPriority w:val="99"/>
    <w:semiHidden/>
    <w:unhideWhenUsed/>
    <w:rsid w:val="006F253E"/>
    <w:rPr>
      <w:sz w:val="20"/>
      <w:szCs w:val="20"/>
    </w:rPr>
  </w:style>
  <w:style w:type="character" w:customStyle="1" w:styleId="CommentTextChar">
    <w:name w:val="Comment Text Char"/>
    <w:basedOn w:val="DefaultParagraphFont"/>
    <w:link w:val="CommentText"/>
    <w:uiPriority w:val="99"/>
    <w:semiHidden/>
    <w:rsid w:val="006F253E"/>
    <w:rPr>
      <w:sz w:val="20"/>
      <w:szCs w:val="20"/>
    </w:rPr>
  </w:style>
  <w:style w:type="paragraph" w:styleId="CommentSubject">
    <w:name w:val="annotation subject"/>
    <w:basedOn w:val="CommentText"/>
    <w:next w:val="CommentText"/>
    <w:link w:val="CommentSubjectChar"/>
    <w:uiPriority w:val="99"/>
    <w:semiHidden/>
    <w:unhideWhenUsed/>
    <w:rsid w:val="006F253E"/>
    <w:rPr>
      <w:b/>
      <w:bCs/>
    </w:rPr>
  </w:style>
  <w:style w:type="character" w:customStyle="1" w:styleId="CommentSubjectChar">
    <w:name w:val="Comment Subject Char"/>
    <w:basedOn w:val="CommentTextChar"/>
    <w:link w:val="CommentSubject"/>
    <w:uiPriority w:val="99"/>
    <w:semiHidden/>
    <w:rsid w:val="006F253E"/>
    <w:rPr>
      <w:b/>
      <w:bCs/>
      <w:sz w:val="20"/>
      <w:szCs w:val="20"/>
    </w:rPr>
  </w:style>
  <w:style w:type="table" w:styleId="TableGrid">
    <w:name w:val="Table Grid"/>
    <w:basedOn w:val="TableNormal"/>
    <w:uiPriority w:val="59"/>
    <w:rsid w:val="005A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Ind w:w="0" w:type="dxa"/>
      <w:tblCellMar>
        <w:top w:w="0" w:type="dxa"/>
        <w:left w:w="108" w:type="dxa"/>
        <w:bottom w:w="0" w:type="dxa"/>
        <w:right w:w="108" w:type="dxa"/>
      </w:tblCellMar>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StyleRowBandSize w:val="1"/>
      <w:tblStyleColBandSize w:val="1"/>
      <w:tblInd w:w="0" w:type="dxa"/>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CellMar>
        <w:top w:w="0" w:type="dxa"/>
        <w:left w:w="108" w:type="dxa"/>
        <w:bottom w:w="0" w:type="dxa"/>
        <w:right w:w="108" w:type="dxa"/>
      </w:tblCellMar>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AF14B9"/>
    <w:pPr>
      <w:ind w:left="720"/>
      <w:contextualSpacing/>
    </w:pPr>
  </w:style>
  <w:style w:type="paragraph" w:styleId="Header">
    <w:name w:val="header"/>
    <w:basedOn w:val="Normal"/>
    <w:link w:val="HeaderChar"/>
    <w:uiPriority w:val="99"/>
    <w:unhideWhenUsed/>
    <w:rsid w:val="000949B9"/>
    <w:pPr>
      <w:tabs>
        <w:tab w:val="center" w:pos="4680"/>
        <w:tab w:val="right" w:pos="9360"/>
      </w:tabs>
    </w:pPr>
  </w:style>
  <w:style w:type="character" w:customStyle="1" w:styleId="HeaderChar">
    <w:name w:val="Header Char"/>
    <w:basedOn w:val="DefaultParagraphFont"/>
    <w:link w:val="Header"/>
    <w:uiPriority w:val="99"/>
    <w:rsid w:val="000949B9"/>
  </w:style>
  <w:style w:type="paragraph" w:styleId="Footer">
    <w:name w:val="footer"/>
    <w:basedOn w:val="Normal"/>
    <w:link w:val="FooterChar"/>
    <w:uiPriority w:val="99"/>
    <w:unhideWhenUsed/>
    <w:rsid w:val="000949B9"/>
    <w:pPr>
      <w:tabs>
        <w:tab w:val="center" w:pos="4680"/>
        <w:tab w:val="right" w:pos="9360"/>
      </w:tabs>
    </w:pPr>
  </w:style>
  <w:style w:type="character" w:customStyle="1" w:styleId="FooterChar">
    <w:name w:val="Footer Char"/>
    <w:basedOn w:val="DefaultParagraphFont"/>
    <w:link w:val="Footer"/>
    <w:uiPriority w:val="99"/>
    <w:rsid w:val="000949B9"/>
  </w:style>
  <w:style w:type="paragraph" w:styleId="BalloonText">
    <w:name w:val="Balloon Text"/>
    <w:basedOn w:val="Normal"/>
    <w:link w:val="BalloonTextChar"/>
    <w:uiPriority w:val="99"/>
    <w:semiHidden/>
    <w:unhideWhenUsed/>
    <w:rsid w:val="000949B9"/>
    <w:rPr>
      <w:rFonts w:ascii="Tahoma" w:hAnsi="Tahoma" w:cs="Tahoma"/>
      <w:sz w:val="16"/>
      <w:szCs w:val="16"/>
    </w:rPr>
  </w:style>
  <w:style w:type="character" w:customStyle="1" w:styleId="BalloonTextChar">
    <w:name w:val="Balloon Text Char"/>
    <w:basedOn w:val="DefaultParagraphFont"/>
    <w:link w:val="BalloonText"/>
    <w:uiPriority w:val="99"/>
    <w:semiHidden/>
    <w:rsid w:val="000949B9"/>
    <w:rPr>
      <w:rFonts w:ascii="Tahoma" w:hAnsi="Tahoma" w:cs="Tahoma"/>
      <w:sz w:val="16"/>
      <w:szCs w:val="16"/>
    </w:rPr>
  </w:style>
  <w:style w:type="paragraph" w:customStyle="1" w:styleId="Default">
    <w:name w:val="Default"/>
    <w:rsid w:val="002D311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6F253E"/>
    <w:rPr>
      <w:sz w:val="16"/>
      <w:szCs w:val="16"/>
    </w:rPr>
  </w:style>
  <w:style w:type="paragraph" w:styleId="CommentText">
    <w:name w:val="annotation text"/>
    <w:basedOn w:val="Normal"/>
    <w:link w:val="CommentTextChar"/>
    <w:uiPriority w:val="99"/>
    <w:semiHidden/>
    <w:unhideWhenUsed/>
    <w:rsid w:val="006F253E"/>
    <w:rPr>
      <w:sz w:val="20"/>
      <w:szCs w:val="20"/>
    </w:rPr>
  </w:style>
  <w:style w:type="character" w:customStyle="1" w:styleId="CommentTextChar">
    <w:name w:val="Comment Text Char"/>
    <w:basedOn w:val="DefaultParagraphFont"/>
    <w:link w:val="CommentText"/>
    <w:uiPriority w:val="99"/>
    <w:semiHidden/>
    <w:rsid w:val="006F253E"/>
    <w:rPr>
      <w:sz w:val="20"/>
      <w:szCs w:val="20"/>
    </w:rPr>
  </w:style>
  <w:style w:type="paragraph" w:styleId="CommentSubject">
    <w:name w:val="annotation subject"/>
    <w:basedOn w:val="CommentText"/>
    <w:next w:val="CommentText"/>
    <w:link w:val="CommentSubjectChar"/>
    <w:uiPriority w:val="99"/>
    <w:semiHidden/>
    <w:unhideWhenUsed/>
    <w:rsid w:val="006F253E"/>
    <w:rPr>
      <w:b/>
      <w:bCs/>
    </w:rPr>
  </w:style>
  <w:style w:type="character" w:customStyle="1" w:styleId="CommentSubjectChar">
    <w:name w:val="Comment Subject Char"/>
    <w:basedOn w:val="CommentTextChar"/>
    <w:link w:val="CommentSubject"/>
    <w:uiPriority w:val="99"/>
    <w:semiHidden/>
    <w:rsid w:val="006F253E"/>
    <w:rPr>
      <w:b/>
      <w:bCs/>
      <w:sz w:val="20"/>
      <w:szCs w:val="20"/>
    </w:rPr>
  </w:style>
  <w:style w:type="table" w:styleId="TableGrid">
    <w:name w:val="Table Grid"/>
    <w:basedOn w:val="TableNormal"/>
    <w:uiPriority w:val="59"/>
    <w:rsid w:val="005A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02037">
      <w:bodyDiv w:val="1"/>
      <w:marLeft w:val="0"/>
      <w:marRight w:val="0"/>
      <w:marTop w:val="0"/>
      <w:marBottom w:val="0"/>
      <w:divBdr>
        <w:top w:val="none" w:sz="0" w:space="0" w:color="auto"/>
        <w:left w:val="none" w:sz="0" w:space="0" w:color="auto"/>
        <w:bottom w:val="none" w:sz="0" w:space="0" w:color="auto"/>
        <w:right w:val="none" w:sz="0" w:space="0" w:color="auto"/>
      </w:divBdr>
    </w:div>
    <w:div w:id="1322469326">
      <w:bodyDiv w:val="1"/>
      <w:marLeft w:val="0"/>
      <w:marRight w:val="0"/>
      <w:marTop w:val="0"/>
      <w:marBottom w:val="0"/>
      <w:divBdr>
        <w:top w:val="none" w:sz="0" w:space="0" w:color="auto"/>
        <w:left w:val="none" w:sz="0" w:space="0" w:color="auto"/>
        <w:bottom w:val="none" w:sz="0" w:space="0" w:color="auto"/>
        <w:right w:val="none" w:sz="0" w:space="0" w:color="auto"/>
      </w:divBdr>
    </w:div>
    <w:div w:id="18250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AC8C-98F1-4C7C-8C5A-8DA17401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5140</Words>
  <Characters>29301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34373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JT</cp:lastModifiedBy>
  <cp:revision>3</cp:revision>
  <cp:lastPrinted>2012-06-15T15:03:00Z</cp:lastPrinted>
  <dcterms:created xsi:type="dcterms:W3CDTF">2012-07-12T18:37:00Z</dcterms:created>
  <dcterms:modified xsi:type="dcterms:W3CDTF">2012-07-17T15:02:00Z</dcterms:modified>
</cp:coreProperties>
</file>